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</w:tblGrid>
      <w:tr w:rsidR="002C0C68" w:rsidTr="002C0C68">
        <w:trPr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</w:tcPr>
          <w:tbl>
            <w:tblPr>
              <w:tblW w:w="11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0"/>
            </w:tblGrid>
            <w:tr w:rsidR="002C0C6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0C68" w:rsidRDefault="002C0C68" w:rsidP="002C0C68">
                  <w:pPr>
                    <w:pStyle w:val="NormalWeb"/>
                    <w:spacing w:after="0" w:afterAutospacing="0" w:line="276" w:lineRule="auto"/>
                    <w:jc w:val="center"/>
                    <w:rPr>
                      <w:b/>
                      <w:bCs/>
                      <w:sz w:val="39"/>
                      <w:szCs w:val="39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z w:val="39"/>
                      <w:szCs w:val="39"/>
                    </w:rPr>
                    <w:t>APRIL IS ALCOHOL AWARENESS MONTH</w:t>
                  </w:r>
                </w:p>
                <w:p w:rsidR="002C0C68" w:rsidRDefault="00A812AD">
                  <w:pPr>
                    <w:jc w:val="center"/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pict>
                      <v:rect id="_x0000_i1025" style="width:468pt;height:1.5pt" o:hralign="center" o:hrstd="t" o:hrnoshade="t" o:hr="t" fillcolor="#00b0f0" stroked="f"/>
                    </w:pict>
                  </w:r>
                </w:p>
              </w:tc>
            </w:tr>
          </w:tbl>
          <w:p w:rsidR="002C0C68" w:rsidRDefault="002C0C68">
            <w:pPr>
              <w:rPr>
                <w:rFonts w:ascii="Georgia" w:eastAsia="Times New Roman" w:hAnsi="Georgia"/>
                <w:vanish/>
              </w:rPr>
            </w:pPr>
          </w:p>
          <w:tbl>
            <w:tblPr>
              <w:tblW w:w="118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0"/>
            </w:tblGrid>
            <w:tr w:rsidR="002C0C6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4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7"/>
                  </w:tblGrid>
                  <w:tr w:rsidR="002C0C68">
                    <w:tc>
                      <w:tcPr>
                        <w:tcW w:w="0" w:type="auto"/>
                        <w:hideMark/>
                      </w:tcPr>
                      <w:p w:rsidR="002C0C68" w:rsidRDefault="002C0C68">
                        <w:pPr>
                          <w:jc w:val="center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  <w:color w:val="2BAADF"/>
                          </w:rPr>
                          <w:drawing>
                            <wp:inline distT="0" distB="0" distL="0" distR="0">
                              <wp:extent cx="3173431" cy="1663281"/>
                              <wp:effectExtent l="0" t="0" r="8255" b="0"/>
                              <wp:docPr id="13" name="Picture 13" descr="http://www.nyc.gov/html/misc/gif/newsletter/workwell/DOH_Just_One_More_Drin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nyc.gov/html/misc/gif/newsletter/workwell/DOH_Just_One_More_Drin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6279" cy="1670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24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7"/>
                  </w:tblGrid>
                  <w:tr w:rsidR="002C0C68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2C0C68" w:rsidRDefault="002C0C68">
                        <w:pPr>
                          <w:pStyle w:val="Heading2"/>
                          <w:spacing w:before="0" w:beforeAutospacing="0" w:after="0" w:afterAutospacing="0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 xml:space="preserve">While many adults in New York City drink without negative consequences, about </w:t>
                        </w:r>
                        <w:r>
                          <w:rPr>
                            <w:rFonts w:ascii="Georgia" w:eastAsia="Times New Roman" w:hAnsi="Georgia"/>
                            <w:color w:val="FF0004"/>
                          </w:rPr>
                          <w:t>30 percent of New Yorkers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who drink report </w:t>
                        </w:r>
                        <w:r>
                          <w:rPr>
                            <w:rFonts w:ascii="Georgia" w:eastAsia="Times New Roman" w:hAnsi="Georgia"/>
                            <w:color w:val="FF0004"/>
                          </w:rPr>
                          <w:t>risky drinking</w:t>
                        </w:r>
                        <w:r>
                          <w:rPr>
                            <w:rFonts w:ascii="Georgia" w:eastAsia="Times New Roman" w:hAnsi="Georgia"/>
                          </w:rPr>
                          <w:t>.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C0C68" w:rsidRDefault="002C0C68">
            <w:pPr>
              <w:rPr>
                <w:rFonts w:ascii="Georgia" w:eastAsia="Times New Roman" w:hAnsi="Georgia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9"/>
              <w:gridCol w:w="7"/>
            </w:tblGrid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pStyle w:val="NormalWeb"/>
                    <w:spacing w:line="450" w:lineRule="atLeast"/>
                  </w:pPr>
                  <w:r>
                    <w:t xml:space="preserve">Most people who drink have no cause for concern. However, the more drinks consumed in one day and the more heavy drinking days over a period of time, the greater the risk of </w:t>
                  </w:r>
                  <w:r>
                    <w:rPr>
                      <w:color w:val="FF0004"/>
                    </w:rPr>
                    <w:t>negative consequences</w:t>
                  </w:r>
                  <w:r>
                    <w:t>. Excessive drinking increases the risk of acute problems, such as fights and falls, and long-term health conditions, such as cancer, fetal alcohol spectrum disorders, hypertension, liver disease, depression and dementia.</w:t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369"/>
                  </w:tblGrid>
                  <w:tr w:rsidR="002C0C68">
                    <w:tc>
                      <w:tcPr>
                        <w:tcW w:w="4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  <w:color w:val="00B0F0"/>
                          </w:rPr>
                          <w:t>HOW CAN PEOPLE TELL IF THEIR DRINKING IS RISKY?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pStyle w:val="NormalWeb"/>
                  </w:pPr>
                  <w:r>
                    <w:t xml:space="preserve">A standard drink may be smaller than you think. Click </w:t>
                  </w:r>
                  <w:hyperlink r:id="rId8" w:history="1">
                    <w:r>
                      <w:rPr>
                        <w:rStyle w:val="Hyperlink"/>
                      </w:rPr>
                      <w:t>here</w:t>
                    </w:r>
                  </w:hyperlink>
                  <w:r>
                    <w:t xml:space="preserve"> to learn more about serving sizes and how they add up. Drinking more than the amounts shown below is considered excessive or risky:</w:t>
                  </w:r>
                </w:p>
                <w:p w:rsidR="002C0C68" w:rsidRDefault="002C0C68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43195" cy="2286000"/>
                        <wp:effectExtent l="0" t="0" r="0" b="0"/>
                        <wp:docPr id="12" name="Picture 12" descr="http://www.nyc.gov/html/misc/gif/newsletter/workwell/workwell-low-risk-diagr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yc.gov/html/misc/gif/newsletter/workwell/workwell-low-risk-diagr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319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  <w:p w:rsidR="002C0C68" w:rsidRDefault="002C0C68">
                  <w:pPr>
                    <w:pStyle w:val="NormalWeb"/>
                  </w:pPr>
                  <w:r>
                    <w:rPr>
                      <w:color w:val="FF0004"/>
                    </w:rPr>
                    <w:t>Some people should not drink at all</w:t>
                  </w:r>
                  <w:r>
                    <w:t xml:space="preserve"> based on their age, health status or family history of alcohol use disorder. </w:t>
                  </w:r>
                  <w:r>
                    <w:rPr>
                      <w:color w:val="FF0004"/>
                    </w:rPr>
                    <w:t>Avoid alcohol if you are pregnant, taking medications that interact with alcohol, or under 21.</w:t>
                  </w:r>
                </w:p>
                <w:p w:rsidR="002C0C68" w:rsidRDefault="002C0C68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089650" cy="3074035"/>
                        <wp:effectExtent l="0" t="0" r="6350" b="0"/>
                        <wp:docPr id="11" name="Picture 11" descr="http://www.nyc.gov/html/misc/gif/newsletter/workwell/workwell-low-risk-diagram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yc.gov/html/misc/gif/newsletter/workwell/workwell-low-risk-diagram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9650" cy="3074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lastRenderedPageBreak/>
                    <w:t> </w:t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369"/>
                  </w:tblGrid>
                  <w:tr w:rsidR="002C0C68">
                    <w:tc>
                      <w:tcPr>
                        <w:tcW w:w="4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  <w:color w:val="00B0F0"/>
                          </w:rPr>
                          <w:t>HOW CAN PEOPLE REDUCE THEIR RISK OF EXCESSIVE DRINKING?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</w:tr>
            <w:tr w:rsidR="002C0C68" w:rsidTr="002C0C68">
              <w:trPr>
                <w:gridAfter w:val="1"/>
                <w:wAfter w:w="3" w:type="pct"/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pStyle w:val="NormalWeb"/>
                  </w:pPr>
                  <w:r>
                    <w:t>Small changes can reduce the risk of both chronic and acute alcohol-related problems. Different strategies can help different people stay within safe limits. Here are a few suggestions:</w:t>
                  </w:r>
                </w:p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7"/>
                    <w:gridCol w:w="10232"/>
                  </w:tblGrid>
                  <w:tr w:rsidR="002C0C68">
                    <w:tc>
                      <w:tcPr>
                        <w:tcW w:w="500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10" name="Picture 10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0" w:type="pct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Track how much you drink</w:t>
                        </w:r>
                        <w:r>
                          <w:rPr>
                            <w:rFonts w:ascii="Georgia" w:eastAsia="Times New Roman" w:hAnsi="Georgia"/>
                          </w:rPr>
                          <w:t>, and when (i.e., days of the week and times of day) and where you drink more.</w:t>
                        </w:r>
                      </w:p>
                    </w:tc>
                  </w:tr>
                  <w:tr w:rsidR="002C0C68">
                    <w:tc>
                      <w:tcPr>
                        <w:tcW w:w="500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9" name="Picture 9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0" w:type="pct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Set goals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for how many drinks you’ll have and write these goals down before you drink.</w:t>
                        </w:r>
                      </w:p>
                    </w:tc>
                  </w:tr>
                  <w:tr w:rsidR="002C0C68">
                    <w:tc>
                      <w:tcPr>
                        <w:tcW w:w="0" w:type="auto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8" name="Picture 8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Space your drinks out over time</w:t>
                        </w:r>
                        <w:r>
                          <w:rPr>
                            <w:rFonts w:ascii="Georgia" w:eastAsia="Times New Roman" w:hAnsi="Georgia"/>
                          </w:rPr>
                          <w:t>. Eat food and drink non-alcoholic drinks in between alcoholic drinks.</w:t>
                        </w:r>
                      </w:p>
                    </w:tc>
                  </w:tr>
                  <w:tr w:rsidR="002C0C68">
                    <w:tc>
                      <w:tcPr>
                        <w:tcW w:w="500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7" name="Picture 7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0" w:type="pct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Learn a new skill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or invite a friend to join you in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 xml:space="preserve"> non-drinking activities</w:t>
                        </w:r>
                        <w:r>
                          <w:rPr>
                            <w:rFonts w:ascii="Georgia" w:eastAsia="Times New Roman" w:hAnsi="Georgia"/>
                          </w:rPr>
                          <w:t>.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</w:p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369"/>
                  </w:tblGrid>
                  <w:tr w:rsidR="002C0C68">
                    <w:tc>
                      <w:tcPr>
                        <w:tcW w:w="4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Strong"/>
                            <w:rFonts w:ascii="Georgia" w:eastAsia="Times New Roman" w:hAnsi="Georgia"/>
                            <w:color w:val="00B0F0"/>
                          </w:rPr>
                          <w:t>HOW CAN I LEARN MORE ABOUT ALCOHOL AND HEALTH?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>
                  <w:pPr>
                    <w:rPr>
                      <w:rFonts w:ascii="Georgia" w:eastAsia="Times New Roman" w:hAnsi="Georgia"/>
                    </w:rPr>
                  </w:pPr>
                </w:p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p w:rsidR="002C0C68" w:rsidRDefault="002C0C68">
                  <w:pPr>
                    <w:pStyle w:val="NormalWeb"/>
                  </w:pPr>
                  <w:r>
                    <w:t xml:space="preserve">You can learn more about alcohol and health </w:t>
                  </w:r>
                  <w:hyperlink r:id="rId12" w:history="1">
                    <w:r>
                      <w:rPr>
                        <w:rStyle w:val="Hyperlink"/>
                      </w:rPr>
                      <w:t>here</w:t>
                    </w:r>
                  </w:hyperlink>
                  <w:r>
                    <w:t>. Also, the following resources are available: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/>
              </w:tc>
            </w:tr>
            <w:tr w:rsidR="002C0C68" w:rsidTr="002C0C68">
              <w:trPr>
                <w:jc w:val="center"/>
              </w:trPr>
              <w:tc>
                <w:tcPr>
                  <w:tcW w:w="4997" w:type="pct"/>
                  <w:vAlign w:val="center"/>
                  <w:hideMark/>
                </w:tcPr>
                <w:tbl>
                  <w:tblPr>
                    <w:tblW w:w="4598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9412"/>
                  </w:tblGrid>
                  <w:tr w:rsidR="002C0C68" w:rsidTr="002C0C68">
                    <w:trPr>
                      <w:trHeight w:val="507"/>
                    </w:trPr>
                    <w:tc>
                      <w:tcPr>
                        <w:tcW w:w="499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6" name="Picture 6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1" w:type="pct"/>
                        <w:hideMark/>
                      </w:tcPr>
                      <w:p w:rsidR="002C0C68" w:rsidRDefault="002C0C68">
                        <w:pPr>
                          <w:spacing w:after="240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 xml:space="preserve">If you’re not sure whether your drinking is excessive, you can take this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Georgia" w:eastAsia="Times New Roman" w:hAnsi="Georgia"/>
                            </w:rPr>
                            <w:t>quiz</w:t>
                          </w:r>
                        </w:hyperlink>
                        <w:r>
                          <w:rPr>
                            <w:rFonts w:ascii="Georgia" w:eastAsia="Times New Roman" w:hAnsi="Georgia"/>
                          </w:rPr>
                          <w:t>.</w:t>
                        </w:r>
                      </w:p>
                    </w:tc>
                  </w:tr>
                  <w:tr w:rsidR="002C0C68" w:rsidTr="002C0C68">
                    <w:trPr>
                      <w:trHeight w:val="538"/>
                    </w:trPr>
                    <w:tc>
                      <w:tcPr>
                        <w:tcW w:w="499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5" name="Picture 5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1" w:type="pct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If you or a loved one have trouble with alcohol or other drug use, talk to your doctor or seek help from a mental health professional.</w:t>
                        </w:r>
                      </w:p>
                    </w:tc>
                  </w:tr>
                  <w:tr w:rsidR="002C0C68" w:rsidTr="002C0C68">
                    <w:trPr>
                      <w:trHeight w:val="1092"/>
                    </w:trPr>
                    <w:tc>
                      <w:tcPr>
                        <w:tcW w:w="0" w:type="auto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4" name="Picture 4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 xml:space="preserve">Call the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NYC Employee Assistance Program (EAP)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for help. The EAP offers free and confidential assistance to employees and family members. If treatment is necessary, the EAP can assist in making a referral to a provider that is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covered by your health benefits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. The EAP can be reached at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212-306-7660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or by email at 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Georgia" w:eastAsia="Times New Roman" w:hAnsi="Georgia"/>
                            </w:rPr>
                            <w:t>eap@olr.nyc.gov</w:t>
                          </w:r>
                        </w:hyperlink>
                        <w:r>
                          <w:rPr>
                            <w:rFonts w:ascii="Georgia" w:eastAsia="Times New Roman" w:hAnsi="Georgia"/>
                          </w:rPr>
                          <w:t>.</w:t>
                        </w:r>
                      </w:p>
                    </w:tc>
                  </w:tr>
                  <w:tr w:rsidR="002C0C68" w:rsidTr="002C0C68">
                    <w:trPr>
                      <w:trHeight w:val="538"/>
                    </w:trPr>
                    <w:tc>
                      <w:tcPr>
                        <w:tcW w:w="499" w:type="pct"/>
                        <w:hideMark/>
                      </w:tcPr>
                      <w:p w:rsidR="002C0C68" w:rsidRDefault="002C0C68">
                        <w:pPr>
                          <w:jc w:val="right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262890" cy="262890"/>
                              <wp:effectExtent l="0" t="0" r="3810" b="3810"/>
                              <wp:docPr id="3" name="Picture 3" descr="http://www.nyc.gov/html/misc/gif/newsletter/workwell/checkbox-b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nyc.gov/html/misc/gif/newsletter/workwell/checkbox-blu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" cy="262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01" w:type="pct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 xml:space="preserve">You can also find help by contacting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NYC Well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, a free, confidential helpline, </w:t>
                        </w:r>
                        <w:proofErr w:type="gramStart"/>
                        <w:r>
                          <w:rPr>
                            <w:rFonts w:ascii="Georgia" w:eastAsia="Times New Roman" w:hAnsi="Georgia"/>
                          </w:rPr>
                          <w:t>available</w:t>
                        </w:r>
                        <w:proofErr w:type="gramEnd"/>
                        <w:r>
                          <w:rPr>
                            <w:rFonts w:ascii="Georgia" w:eastAsia="Times New Roman" w:hAnsi="Georgia"/>
                          </w:rPr>
                          <w:t xml:space="preserve"> 24/7: call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1-888-NYC-Well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 or text “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WELL</w:t>
                        </w:r>
                        <w:r>
                          <w:rPr>
                            <w:rFonts w:ascii="Georgia" w:eastAsia="Times New Roman" w:hAnsi="Georgia"/>
                          </w:rPr>
                          <w:t xml:space="preserve">” to </w:t>
                        </w:r>
                        <w:r>
                          <w:rPr>
                            <w:rStyle w:val="Strong"/>
                            <w:rFonts w:ascii="Georgia" w:eastAsia="Times New Roman" w:hAnsi="Georgia"/>
                          </w:rPr>
                          <w:t>65173</w:t>
                        </w:r>
                        <w:r>
                          <w:rPr>
                            <w:rFonts w:ascii="Georgia" w:eastAsia="Times New Roman" w:hAnsi="Georgia"/>
                          </w:rPr>
                          <w:t>.</w:t>
                        </w:r>
                      </w:p>
                    </w:tc>
                  </w:tr>
                </w:tbl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2C0C68" w:rsidRDefault="002C0C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C0C68" w:rsidRDefault="002C0C68">
            <w:pPr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lastRenderedPageBreak/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76"/>
            </w:tblGrid>
            <w:tr w:rsidR="002C0C68">
              <w:trPr>
                <w:jc w:val="center"/>
              </w:trPr>
              <w:tc>
                <w:tcPr>
                  <w:tcW w:w="0" w:type="auto"/>
                  <w:tcMar>
                    <w:top w:w="45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  <w:color w:val="2BAADF"/>
                          </w:rPr>
                          <w:drawing>
                            <wp:inline distT="0" distB="0" distL="0" distR="0">
                              <wp:extent cx="2860040" cy="1711960"/>
                              <wp:effectExtent l="0" t="0" r="0" b="2540"/>
                              <wp:docPr id="2" name="Picture 2" descr="Logo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0040" cy="171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0C68" w:rsidRDefault="00A812AD">
                        <w:pPr>
                          <w:pStyle w:val="NormalWeb"/>
                          <w:jc w:val="center"/>
                        </w:pPr>
                        <w:hyperlink r:id="rId17" w:history="1">
                          <w:r w:rsidR="002C0C68">
                            <w:rPr>
                              <w:rStyle w:val="Hyperlink"/>
                            </w:rPr>
                            <w:t>www.nyc.gov/workwellnyc</w:t>
                          </w:r>
                        </w:hyperlink>
                        <w:r w:rsidR="002C0C68">
                          <w:t xml:space="preserve"> | </w:t>
                        </w:r>
                        <w:hyperlink r:id="rId18" w:history="1">
                          <w:r w:rsidR="002C0C68">
                            <w:rPr>
                              <w:rStyle w:val="Hyperlink"/>
                            </w:rPr>
                            <w:t>workwell@nyc.olr.gov</w:t>
                          </w:r>
                        </w:hyperlink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jc w:val="center"/>
                          <w:rPr>
                            <w:rFonts w:ascii="Georgia" w:eastAsia="Times New Roman" w:hAnsi="Georgia"/>
                            <w:color w:val="656565"/>
                            <w:sz w:val="21"/>
                            <w:szCs w:val="21"/>
                          </w:rPr>
                        </w:pPr>
                        <w:r>
                          <w:rPr>
                            <w:rStyle w:val="Emphasis"/>
                            <w:rFonts w:ascii="Georgia" w:eastAsia="Times New Roman" w:hAnsi="Georgia"/>
                            <w:color w:val="656565"/>
                            <w:sz w:val="21"/>
                            <w:szCs w:val="21"/>
                          </w:rPr>
                          <w:t>PLEASE DO NOT REPLY TO THIS MESSAGE</w:t>
                        </w:r>
                        <w:r>
                          <w:rPr>
                            <w:rFonts w:ascii="Georgia" w:eastAsia="Times New Roman" w:hAnsi="Georgia"/>
                            <w:color w:val="656565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</w:p>
                    </w:tc>
                  </w:tr>
                  <w:tr w:rsidR="002C0C6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C68" w:rsidRDefault="002C0C68">
                        <w:pPr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</w:p>
                    </w:tc>
                  </w:tr>
                </w:tbl>
                <w:p w:rsidR="002C0C68" w:rsidRDefault="002C0C6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C0C68" w:rsidRDefault="002C0C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C0C68" w:rsidRDefault="002C0C68" w:rsidP="002C0C68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1" name="Picture 1" descr="http://www.nyc.gov:80/mt?g=1.47rf4.4p25.rs.0.2zi6u.5z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yc.gov:80/mt?g=1.47rf4.4p25.rs.0.2zi6u.5zrj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B4" w:rsidRDefault="00BF55B4"/>
    <w:sectPr w:rsidR="00BF55B4" w:rsidSect="002C0C68">
      <w:headerReference w:type="default" r:id="rId2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68" w:rsidRDefault="002C0C68" w:rsidP="002C0C68">
      <w:r>
        <w:separator/>
      </w:r>
    </w:p>
  </w:endnote>
  <w:endnote w:type="continuationSeparator" w:id="0">
    <w:p w:rsidR="002C0C68" w:rsidRDefault="002C0C68" w:rsidP="002C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68" w:rsidRDefault="002C0C68" w:rsidP="002C0C68">
      <w:r>
        <w:separator/>
      </w:r>
    </w:p>
  </w:footnote>
  <w:footnote w:type="continuationSeparator" w:id="0">
    <w:p w:rsidR="002C0C68" w:rsidRDefault="002C0C68" w:rsidP="002C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8" w:rsidRPr="002C0C68" w:rsidRDefault="002C0C68">
    <w:pPr>
      <w:pStyle w:val="Header"/>
    </w:pPr>
    <w:r>
      <w:rPr>
        <w:b/>
      </w:rPr>
      <w:t>April is Alcohol Awareness Month</w:t>
    </w:r>
    <w:r>
      <w:rPr>
        <w:b/>
      </w:rPr>
      <w:tab/>
    </w:r>
    <w:r>
      <w:rPr>
        <w:b/>
      </w:rPr>
      <w:tab/>
    </w:r>
    <w:r w:rsidRPr="002C0C68">
      <w:t xml:space="preserve">  April 12, 2017</w:t>
    </w:r>
  </w:p>
  <w:p w:rsidR="002C0C68" w:rsidRPr="002C0C68" w:rsidRDefault="002C0C68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8"/>
    <w:rsid w:val="002C0C68"/>
    <w:rsid w:val="00A812AD"/>
    <w:rsid w:val="00B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C0C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C6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C0C68"/>
    <w:rPr>
      <w:b w:val="0"/>
      <w:bCs w:val="0"/>
      <w:color w:val="2BAADF"/>
      <w:u w:val="single"/>
    </w:rPr>
  </w:style>
  <w:style w:type="paragraph" w:styleId="NormalWeb">
    <w:name w:val="Normal (Web)"/>
    <w:basedOn w:val="Normal"/>
    <w:uiPriority w:val="99"/>
    <w:semiHidden/>
    <w:unhideWhenUsed/>
    <w:rsid w:val="002C0C68"/>
    <w:pPr>
      <w:spacing w:before="100" w:beforeAutospacing="1" w:after="100" w:afterAutospacing="1" w:line="360" w:lineRule="auto"/>
    </w:pPr>
    <w:rPr>
      <w:rFonts w:ascii="Georgia" w:hAnsi="Georgia"/>
      <w:color w:val="202020"/>
    </w:rPr>
  </w:style>
  <w:style w:type="character" w:styleId="Strong">
    <w:name w:val="Strong"/>
    <w:basedOn w:val="DefaultParagraphFont"/>
    <w:uiPriority w:val="22"/>
    <w:qFormat/>
    <w:rsid w:val="002C0C68"/>
    <w:rPr>
      <w:b/>
      <w:bCs/>
    </w:rPr>
  </w:style>
  <w:style w:type="character" w:styleId="Emphasis">
    <w:name w:val="Emphasis"/>
    <w:basedOn w:val="DefaultParagraphFont"/>
    <w:uiPriority w:val="20"/>
    <w:qFormat/>
    <w:rsid w:val="002C0C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6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C0C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C6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C0C68"/>
    <w:rPr>
      <w:b w:val="0"/>
      <w:bCs w:val="0"/>
      <w:color w:val="2BAADF"/>
      <w:u w:val="single"/>
    </w:rPr>
  </w:style>
  <w:style w:type="paragraph" w:styleId="NormalWeb">
    <w:name w:val="Normal (Web)"/>
    <w:basedOn w:val="Normal"/>
    <w:uiPriority w:val="99"/>
    <w:semiHidden/>
    <w:unhideWhenUsed/>
    <w:rsid w:val="002C0C68"/>
    <w:pPr>
      <w:spacing w:before="100" w:beforeAutospacing="1" w:after="100" w:afterAutospacing="1" w:line="360" w:lineRule="auto"/>
    </w:pPr>
    <w:rPr>
      <w:rFonts w:ascii="Georgia" w:hAnsi="Georgia"/>
      <w:color w:val="202020"/>
    </w:rPr>
  </w:style>
  <w:style w:type="character" w:styleId="Strong">
    <w:name w:val="Strong"/>
    <w:basedOn w:val="DefaultParagraphFont"/>
    <w:uiPriority w:val="22"/>
    <w:qFormat/>
    <w:rsid w:val="002C0C68"/>
    <w:rPr>
      <w:b/>
      <w:bCs/>
    </w:rPr>
  </w:style>
  <w:style w:type="character" w:styleId="Emphasis">
    <w:name w:val="Emphasis"/>
    <w:basedOn w:val="DefaultParagraphFont"/>
    <w:uiPriority w:val="20"/>
    <w:qFormat/>
    <w:rsid w:val="002C0C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6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hinkingdrinking.niaaa.nih.gov/How-much-is-too-much/What-counts-as-a-drink/Whats-A-Standard-Drink.aspx" TargetMode="External"/><Relationship Id="rId13" Type="http://schemas.openxmlformats.org/officeDocument/2006/relationships/hyperlink" Target="https://www.rethinkingdrinking.niaaa.nih.gov/How-much-is-too-much/Is-your-drinking-pattern-risky/Whats-Your-Pattern.aspx" TargetMode="External"/><Relationship Id="rId18" Type="http://schemas.openxmlformats.org/officeDocument/2006/relationships/hyperlink" Target="mailto:workwell@nyc.olr.g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1.nyc.gov/site/doh/health/health-topics/alcohol-and-drug-use-alcohol-and-health.page" TargetMode="External"/><Relationship Id="rId17" Type="http://schemas.openxmlformats.org/officeDocument/2006/relationships/hyperlink" Target="http://www.nyc.gov/workwellny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nyc.gov/workwellny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ap@olr.nyc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2662</Characters>
  <Application>Microsoft Office Word</Application>
  <DocSecurity>4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2017-12-27T18:11:00Z</dcterms:created>
  <dcterms:modified xsi:type="dcterms:W3CDTF">2017-12-27T18:11:00Z</dcterms:modified>
</cp:coreProperties>
</file>