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80" w:rsidRPr="00896580" w:rsidRDefault="00896580" w:rsidP="00896580">
      <w:pPr>
        <w:rPr>
          <w:color w:val="1F497D"/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</w:tblGrid>
      <w:tr w:rsidR="00896580" w:rsidTr="00896580"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580" w:rsidRDefault="00896580">
            <w:pPr>
              <w:rPr>
                <w:color w:val="1F497D"/>
              </w:rPr>
            </w:pPr>
          </w:p>
          <w:p w:rsidR="00896580" w:rsidRDefault="00896580">
            <w:pPr>
              <w:rPr>
                <w:color w:val="1F497D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6090285" cy="931545"/>
                  <wp:effectExtent l="0" t="0" r="5715" b="1905"/>
                  <wp:docPr id="6" name="Picture 6" descr="cid:image006.png@01D38094.14FEB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png@01D38094.14FEB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028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580" w:rsidTr="00896580"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580" w:rsidRDefault="00896580">
            <w:pPr>
              <w:rPr>
                <w:color w:val="1F497D"/>
              </w:rPr>
            </w:pPr>
          </w:p>
          <w:tbl>
            <w:tblPr>
              <w:tblW w:w="96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360"/>
              <w:gridCol w:w="5040"/>
            </w:tblGrid>
            <w:tr w:rsidR="00896580" w:rsidTr="00896580">
              <w:trPr>
                <w:trHeight w:val="4203"/>
                <w:tblCellSpacing w:w="0" w:type="dxa"/>
              </w:trPr>
              <w:tc>
                <w:tcPr>
                  <w:tcW w:w="4212" w:type="dxa"/>
                  <w:vAlign w:val="center"/>
                </w:tcPr>
                <w:p w:rsidR="00896580" w:rsidRDefault="00896580">
                  <w:pPr>
                    <w:spacing w:line="360" w:lineRule="auto"/>
                    <w:rPr>
                      <w:rFonts w:ascii="Helvetica" w:hAnsi="Helvetica" w:cs="Helvetica"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F05A21"/>
                      <w:sz w:val="24"/>
                      <w:szCs w:val="24"/>
                    </w:rPr>
                    <w:t>Join Jeanine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and more than 24,000 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of your colleagues and their families throughout the City to help you make 2018 your healthiest year yet! </w:t>
                  </w:r>
                </w:p>
                <w:p w:rsidR="00896580" w:rsidRDefault="00896580">
                  <w:pPr>
                    <w:spacing w:line="360" w:lineRule="auto"/>
                    <w:rPr>
                      <w:color w:val="1F497D"/>
                    </w:rPr>
                  </w:pPr>
                </w:p>
                <w:p w:rsidR="00896580" w:rsidRDefault="00896580">
                  <w:pPr>
                    <w:spacing w:line="360" w:lineRule="auto"/>
                    <w:rPr>
                      <w:vertAlign w:val="superscript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Jeanine lost 33 pounds</w:t>
                  </w:r>
                  <w:r>
                    <w:rPr>
                      <w:rFonts w:ascii="Helvetica" w:hAnsi="Helvetica" w:cs="Helvetica"/>
                      <w:sz w:val="24"/>
                      <w:szCs w:val="24"/>
                      <w:vertAlign w:val="superscript"/>
                    </w:rPr>
                    <w:t>‡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after joining </w:t>
                  </w:r>
                  <w:hyperlink r:id="rId9" w:history="1">
                    <w:r>
                      <w:rPr>
                        <w:rStyle w:val="Hyperlink"/>
                        <w:rFonts w:ascii="Helvetica" w:hAnsi="Helvetica" w:cs="Helvetica"/>
                        <w:b/>
                        <w:bCs/>
                        <w:color w:val="2E8ACA"/>
                        <w:sz w:val="24"/>
                        <w:szCs w:val="24"/>
                      </w:rPr>
                      <w:t>Weight Watchers</w:t>
                    </w:r>
                  </w:hyperlink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through </w:t>
                  </w:r>
                  <w:hyperlink r:id="rId10" w:history="1">
                    <w:r>
                      <w:rPr>
                        <w:rStyle w:val="Hyperlink"/>
                        <w:rFonts w:ascii="Helvetica" w:hAnsi="Helvetica" w:cs="Helvetica"/>
                        <w:b/>
                        <w:bCs/>
                        <w:color w:val="2E8ACA"/>
                        <w:sz w:val="24"/>
                        <w:szCs w:val="24"/>
                      </w:rPr>
                      <w:t>WorkWell NYC</w:t>
                    </w:r>
                  </w:hyperlink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and attending at-work meetings 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at her worksite, the Queens District Attorney's Office. Jeanine took advantage of a subsidy for City employees that reduces the cost of membership by </w:t>
                  </w:r>
                  <w:r>
                    <w:rPr>
                      <w:rFonts w:ascii="Helvetica" w:hAnsi="Helvetica" w:cs="Helvetica"/>
                      <w:b/>
                      <w:bCs/>
                      <w:sz w:val="24"/>
                      <w:szCs w:val="24"/>
                    </w:rPr>
                    <w:t>more than 50% off*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the regular membership price!</w:t>
                  </w:r>
                  <w:r>
                    <w:rPr>
                      <w:rFonts w:ascii="Helvetica" w:hAnsi="Helvetica" w:cs="Helvetica"/>
                      <w:sz w:val="12"/>
                      <w:szCs w:val="12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:rsidR="00896580" w:rsidRDefault="0089658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0" w:type="dxa"/>
                  <w:vAlign w:val="center"/>
                </w:tcPr>
                <w:p w:rsidR="00896580" w:rsidRDefault="00896580">
                  <w:pPr>
                    <w:spacing w:after="160" w:line="360" w:lineRule="auto"/>
                    <w:ind w:left="360"/>
                    <w:jc w:val="center"/>
                    <w:rPr>
                      <w:rFonts w:ascii="Franklin Gothic Medium" w:hAnsi="Franklin Gothic Medium"/>
                      <w:b/>
                      <w:bCs/>
                      <w:color w:val="70AB2F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70AB2F"/>
                      <w:sz w:val="28"/>
                      <w:szCs w:val="28"/>
                    </w:rPr>
                    <w:t>Click below to watch Jeanine’s At-Work Success Story:</w:t>
                  </w:r>
                </w:p>
                <w:p w:rsidR="00896580" w:rsidRDefault="00896580">
                  <w:pPr>
                    <w:jc w:val="center"/>
                    <w:rPr>
                      <w:color w:val="1F497D"/>
                    </w:rPr>
                  </w:pPr>
                  <w:r>
                    <w:rPr>
                      <w:noProof/>
                      <w:color w:val="1F497D"/>
                    </w:rPr>
                    <w:drawing>
                      <wp:inline distT="0" distB="0" distL="0" distR="0">
                        <wp:extent cx="2993390" cy="2760345"/>
                        <wp:effectExtent l="0" t="0" r="0" b="1905"/>
                        <wp:docPr id="5" name="Picture 5" descr="cid:image001.jpg@01D38096.F995A520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1.jpg@01D38096.F995A5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3390" cy="276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580" w:rsidRDefault="00896580">
                  <w:pPr>
                    <w:jc w:val="center"/>
                    <w:rPr>
                      <w:color w:val="1F497D"/>
                    </w:rPr>
                  </w:pPr>
                </w:p>
              </w:tc>
            </w:tr>
          </w:tbl>
          <w:p w:rsidR="00896580" w:rsidRDefault="00896580">
            <w:pPr>
              <w:rPr>
                <w:color w:val="1F497D"/>
              </w:rPr>
            </w:pPr>
          </w:p>
        </w:tc>
      </w:tr>
      <w:tr w:rsidR="00896580" w:rsidTr="00896580"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580" w:rsidRDefault="00896580">
            <w:pPr>
              <w:rPr>
                <w:rFonts w:ascii="Helvetica" w:hAnsi="Helvetica" w:cs="Helvetica"/>
                <w:b/>
                <w:bCs/>
                <w:color w:val="F05A21"/>
                <w:sz w:val="30"/>
                <w:szCs w:val="30"/>
              </w:rPr>
            </w:pPr>
          </w:p>
          <w:p w:rsidR="00896580" w:rsidRDefault="00896580">
            <w:pPr>
              <w:rPr>
                <w:color w:val="1F497D"/>
              </w:rPr>
            </w:pPr>
            <w:r>
              <w:rPr>
                <w:rFonts w:ascii="Helvetica" w:hAnsi="Helvetica" w:cs="Helvetica"/>
                <w:b/>
                <w:bCs/>
                <w:color w:val="F05A21"/>
                <w:sz w:val="30"/>
                <w:szCs w:val="30"/>
              </w:rPr>
              <w:t>What's new?</w:t>
            </w:r>
            <w:r>
              <w:rPr>
                <w:rFonts w:ascii="Helvetica" w:hAnsi="Helvetica" w:cs="Helvetica"/>
                <w:sz w:val="24"/>
                <w:szCs w:val="24"/>
              </w:rPr>
              <w:br/>
              <w:t xml:space="preserve">This year, Weight Watchers launched their </w:t>
            </w:r>
            <w:hyperlink r:id="rId14" w:history="1">
              <w:r>
                <w:rPr>
                  <w:rStyle w:val="Hyperlink"/>
                  <w:rFonts w:ascii="Helvetica" w:hAnsi="Helvetica" w:cs="Helvetica"/>
                  <w:b/>
                  <w:bCs/>
                  <w:sz w:val="24"/>
                  <w:szCs w:val="24"/>
                </w:rPr>
                <w:t>WW Freestyle™ program</w:t>
              </w:r>
            </w:hyperlink>
            <w:r>
              <w:rPr>
                <w:rFonts w:ascii="Helvetica" w:hAnsi="Helvetica" w:cs="Helvetica"/>
                <w:sz w:val="24"/>
                <w:szCs w:val="24"/>
              </w:rPr>
              <w:t xml:space="preserve"> designed to help you make healthier choices, with more flexibility and freedom than ever before</w:t>
            </w:r>
            <w:r>
              <w:rPr>
                <w:rFonts w:ascii="Helvetica" w:hAnsi="Helvetica" w:cs="Helvetica"/>
                <w:color w:val="1F497D"/>
                <w:sz w:val="24"/>
                <w:szCs w:val="24"/>
              </w:rPr>
              <w:t>.</w:t>
            </w:r>
          </w:p>
          <w:p w:rsidR="00896580" w:rsidRDefault="00896580">
            <w:pPr>
              <w:rPr>
                <w:color w:val="1F497D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135"/>
              <w:gridCol w:w="6105"/>
            </w:tblGrid>
            <w:tr w:rsidR="00896580">
              <w:trPr>
                <w:tblCellSpacing w:w="0" w:type="dxa"/>
              </w:trPr>
              <w:tc>
                <w:tcPr>
                  <w:tcW w:w="3210" w:type="dxa"/>
                  <w:vAlign w:val="center"/>
                  <w:hideMark/>
                </w:tcPr>
                <w:p w:rsidR="00896580" w:rsidRDefault="008965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35810" cy="1656080"/>
                        <wp:effectExtent l="0" t="0" r="2540" b="1270"/>
                        <wp:docPr id="4" name="Picture 4" descr="http://www.emessageexpress.com/WWB2B/images/NYC20171227_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messageexpress.com/WWB2B/images/NYC20171227_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5810" cy="165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" w:type="dxa"/>
                  <w:vAlign w:val="center"/>
                  <w:hideMark/>
                </w:tcPr>
                <w:p w:rsidR="00896580" w:rsidRDefault="0089658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05" w:type="dxa"/>
                  <w:vAlign w:val="center"/>
                  <w:hideMark/>
                </w:tcPr>
                <w:p w:rsidR="00896580" w:rsidRDefault="00896580" w:rsidP="002331EC">
                  <w:pPr>
                    <w:numPr>
                      <w:ilvl w:val="0"/>
                      <w:numId w:val="1"/>
                    </w:numPr>
                    <w:spacing w:after="160" w:line="36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F05A21"/>
                      <w:sz w:val="24"/>
                      <w:szCs w:val="24"/>
                    </w:rPr>
                    <w:t>Eat what you love</w:t>
                  </w:r>
                  <w:r>
                    <w:rPr>
                      <w:rFonts w:ascii="Helvetica" w:hAnsi="Helvetica" w:cs="Helvetica"/>
                      <w:b/>
                      <w:bCs/>
                      <w:i/>
                      <w:iCs/>
                      <w:color w:val="F6560E"/>
                      <w:sz w:val="24"/>
                      <w:szCs w:val="24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Celebrating January birthdays with a cake in the office? No problem. Have a slice, and choose from 200+ zero Points foods to eat delicious, satisfying meals for the remainder of the day. Tracking is easier than ever!</w:t>
                  </w:r>
                </w:p>
                <w:p w:rsidR="00896580" w:rsidRDefault="00896580" w:rsidP="002331EC">
                  <w:pPr>
                    <w:numPr>
                      <w:ilvl w:val="0"/>
                      <w:numId w:val="1"/>
                    </w:numPr>
                    <w:spacing w:after="160" w:line="36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F05A21"/>
                      <w:sz w:val="24"/>
                      <w:szCs w:val="24"/>
                    </w:rPr>
                    <w:t>Do what moves you</w:t>
                  </w:r>
                  <w:r>
                    <w:rPr>
                      <w:rFonts w:ascii="Helvetica" w:hAnsi="Helvetica" w:cs="Helvetica"/>
                      <w:b/>
                      <w:bCs/>
                      <w:i/>
                      <w:iCs/>
                      <w:color w:val="F6560E"/>
                      <w:sz w:val="24"/>
                      <w:szCs w:val="24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Ice skating, snowball fights, dancing – Weight Watchers is about moving for pleasure. Doing what you enjoy, instead of what you 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lastRenderedPageBreak/>
                    <w:t>"should", is the key to making activity part of your life.  Every little bit counts!</w:t>
                  </w:r>
                </w:p>
                <w:p w:rsidR="00896580" w:rsidRDefault="00896580" w:rsidP="002331EC">
                  <w:pPr>
                    <w:numPr>
                      <w:ilvl w:val="0"/>
                      <w:numId w:val="1"/>
                    </w:numPr>
                    <w:spacing w:after="160" w:line="360" w:lineRule="auto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F05A21"/>
                      <w:sz w:val="24"/>
                      <w:szCs w:val="24"/>
                    </w:rPr>
                    <w:t>Live your best life</w:t>
                  </w:r>
                  <w:r>
                    <w:rPr>
                      <w:rFonts w:ascii="Helvetica" w:hAnsi="Helvetica" w:cs="Helvetica"/>
                      <w:b/>
                      <w:bCs/>
                      <w:i/>
                      <w:iCs/>
                      <w:color w:val="F6560E"/>
                      <w:sz w:val="24"/>
                      <w:szCs w:val="24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gramStart"/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New</w:t>
                  </w:r>
                  <w:proofErr w:type="gramEnd"/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rollover points give you the flexibility to help you plan for that weekend getaway throughout the week so you can feel great about enjoying your favorite foods on special occasions</w:t>
                  </w:r>
                  <w:r>
                    <w:rPr>
                      <w:rFonts w:ascii="Helvetica" w:hAnsi="Helvetica" w:cs="Helvetica"/>
                    </w:rPr>
                    <w:t>.</w:t>
                  </w:r>
                </w:p>
              </w:tc>
            </w:tr>
          </w:tbl>
          <w:p w:rsidR="00896580" w:rsidRDefault="00896580">
            <w:pPr>
              <w:spacing w:before="100" w:beforeAutospacing="1" w:after="100" w:afterAutospacing="1" w:line="33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lastRenderedPageBreak/>
              <w:t xml:space="preserve">Check out this </w:t>
            </w:r>
            <w:hyperlink r:id="rId17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2E8ACA"/>
                  <w:sz w:val="24"/>
                  <w:szCs w:val="24"/>
                </w:rPr>
                <w:t>on-demand webinar</w:t>
              </w:r>
            </w:hyperlink>
            <w:r>
              <w:rPr>
                <w:rFonts w:ascii="Helvetica" w:hAnsi="Helvetica" w:cs="Helvetica"/>
                <w:sz w:val="24"/>
                <w:szCs w:val="24"/>
              </w:rPr>
              <w:t xml:space="preserve"> to learn more about exciting program updates in Weight Watchers Freestyle™.</w:t>
            </w:r>
          </w:p>
          <w:p w:rsidR="00896580" w:rsidRDefault="00896580">
            <w:pPr>
              <w:spacing w:before="100" w:beforeAutospacing="1" w:after="100" w:afterAutospacing="1" w:line="33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F05A21"/>
                <w:sz w:val="30"/>
                <w:szCs w:val="30"/>
              </w:rPr>
              <w:t>Ready to get started?</w:t>
            </w:r>
            <w:r>
              <w:rPr>
                <w:rFonts w:ascii="Helvetica" w:hAnsi="Helvetica" w:cs="Helvetica"/>
                <w:sz w:val="24"/>
                <w:szCs w:val="24"/>
              </w:rPr>
              <w:br/>
              <w:t>City employees can take advantage of a subsidy that reduces the cost of membership</w:t>
            </w: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by more than 50% off*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the regular membership price. Click</w:t>
            </w:r>
            <w:hyperlink r:id="rId18" w:history="1">
              <w:r>
                <w:rPr>
                  <w:rStyle w:val="Hyperlink"/>
                  <w:rFonts w:ascii="Helvetica" w:hAnsi="Helvetica" w:cs="Helvetica"/>
                  <w:b/>
                  <w:bCs/>
                  <w:sz w:val="24"/>
                  <w:szCs w:val="24"/>
                  <w:u w:val="none"/>
                </w:rPr>
                <w:t xml:space="preserve"> </w:t>
              </w:r>
              <w:r>
                <w:rPr>
                  <w:rStyle w:val="Hyperlink"/>
                  <w:rFonts w:ascii="Helvetica" w:hAnsi="Helvetica" w:cs="Helvetica"/>
                  <w:b/>
                  <w:bCs/>
                  <w:sz w:val="24"/>
                  <w:szCs w:val="24"/>
                </w:rPr>
                <w:t>here</w:t>
              </w:r>
            </w:hyperlink>
            <w:r>
              <w:rPr>
                <w:rFonts w:ascii="Helvetica" w:hAnsi="Helvetica" w:cs="Helvetica"/>
                <w:sz w:val="24"/>
                <w:szCs w:val="24"/>
              </w:rPr>
              <w:t xml:space="preserve"> for membership pricing.</w:t>
            </w:r>
          </w:p>
          <w:p w:rsidR="00896580" w:rsidRDefault="00896580">
            <w:pPr>
              <w:spacing w:before="100" w:beforeAutospacing="1" w:after="100" w:afterAutospacing="1" w:line="33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Plus, spouses/domestic partners, dependents (ages 18-26) and retirees** are also</w:t>
            </w:r>
            <w:r>
              <w:rPr>
                <w:rFonts w:ascii="Helvetica" w:hAnsi="Helvetica" w:cs="Helvetica"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eligible </w:t>
            </w:r>
            <w:hyperlink r:id="rId19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2E8ACA"/>
                  <w:sz w:val="24"/>
                  <w:szCs w:val="24"/>
                </w:rPr>
                <w:t>for discounted pricing</w:t>
              </w:r>
            </w:hyperlink>
            <w:r>
              <w:rPr>
                <w:rFonts w:ascii="Helvetica" w:hAnsi="Helvetica" w:cs="Helvetica"/>
                <w:sz w:val="24"/>
                <w:szCs w:val="24"/>
              </w:rPr>
              <w:t xml:space="preserve"> through the WorkWell NYC partnership with Weight Watchers — making health a family affair!</w:t>
            </w:r>
          </w:p>
        </w:tc>
      </w:tr>
      <w:tr w:rsidR="00896580" w:rsidTr="00896580">
        <w:trPr>
          <w:trHeight w:val="5751"/>
        </w:trPr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580" w:rsidRDefault="00896580">
            <w:pPr>
              <w:rPr>
                <w:rFonts w:ascii="Helvetica" w:hAnsi="Helvetica" w:cs="Helvetica"/>
                <w:b/>
                <w:bCs/>
                <w:color w:val="F05A21"/>
                <w:sz w:val="30"/>
                <w:szCs w:val="30"/>
              </w:rPr>
            </w:pPr>
            <w:r>
              <w:rPr>
                <w:rFonts w:ascii="Helvetica" w:hAnsi="Helvetica" w:cs="Helvetica"/>
                <w:b/>
                <w:bCs/>
                <w:color w:val="F05A21"/>
                <w:sz w:val="30"/>
                <w:szCs w:val="30"/>
              </w:rPr>
              <w:lastRenderedPageBreak/>
              <w:t xml:space="preserve">                              </w:t>
            </w:r>
          </w:p>
          <w:tbl>
            <w:tblPr>
              <w:tblW w:w="95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9"/>
            </w:tblGrid>
            <w:tr w:rsidR="00896580">
              <w:trPr>
                <w:trHeight w:val="16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6580" w:rsidRDefault="008965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5721614" cy="1061049"/>
                        <wp:effectExtent l="0" t="0" r="0" b="6350"/>
                        <wp:docPr id="3" name="Picture 3" descr="http://www.emessageexpress.com/WWB2B/images/NYC20171227_08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emessageexpress.com/WWB2B/images/NYC20171227_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085" cy="111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6580" w:rsidRPr="00896580">
              <w:trPr>
                <w:trHeight w:val="189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6580" w:rsidRPr="00896580" w:rsidRDefault="00896580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896580">
                    <w:rPr>
                      <w:rFonts w:ascii="Times New Roman" w:hAnsi="Times New Roman"/>
                      <w:noProof/>
                      <w:color w:val="0000FF"/>
                      <w:sz w:val="14"/>
                      <w:szCs w:val="14"/>
                    </w:rPr>
                    <w:drawing>
                      <wp:inline distT="0" distB="0" distL="0" distR="0">
                        <wp:extent cx="5724144" cy="1200369"/>
                        <wp:effectExtent l="0" t="0" r="0" b="0"/>
                        <wp:docPr id="2" name="Picture 2" descr="http://www.emessageexpress.com/WWB2B/images/NYC20171227_09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emessageexpress.com/WWB2B/images/NYC20171227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r:link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4144" cy="1200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6580" w:rsidRDefault="00896580">
            <w:pPr>
              <w:rPr>
                <w:rFonts w:ascii="Helvetica" w:hAnsi="Helvetica" w:cs="Helvetica"/>
                <w:b/>
                <w:bCs/>
                <w:color w:val="F05A21"/>
                <w:sz w:val="30"/>
                <w:szCs w:val="30"/>
              </w:rPr>
            </w:pPr>
            <w:r w:rsidRPr="00896580">
              <w:rPr>
                <w:rFonts w:ascii="Helvetica" w:hAnsi="Helvetica" w:cs="Helvetica"/>
                <w:sz w:val="14"/>
                <w:szCs w:val="14"/>
              </w:rPr>
              <w:t>*The dollar value of this contribution/benefit will be included as t</w:t>
            </w:r>
            <w:r>
              <w:rPr>
                <w:rFonts w:ascii="Helvetica" w:hAnsi="Helvetica" w:cs="Helvetica"/>
                <w:sz w:val="14"/>
                <w:szCs w:val="14"/>
              </w:rPr>
              <w:t>axable income to the employee.</w:t>
            </w:r>
            <w:r w:rsidRPr="00896580">
              <w:rPr>
                <w:rFonts w:ascii="Helvetica" w:hAnsi="Helvetica" w:cs="Helvetica"/>
                <w:sz w:val="14"/>
                <w:szCs w:val="14"/>
              </w:rPr>
              <w:br/>
              <w:t>**Spouses and dependents of retirees are not eligible for the subsidy.</w:t>
            </w:r>
            <w:r w:rsidRPr="00896580">
              <w:rPr>
                <w:rFonts w:ascii="Helvetica" w:hAnsi="Helvetica" w:cs="Helvetica"/>
                <w:sz w:val="14"/>
                <w:szCs w:val="14"/>
              </w:rPr>
              <w:br/>
            </w:r>
            <w:r w:rsidRPr="00896580">
              <w:rPr>
                <w:rFonts w:ascii="Helvetica" w:hAnsi="Helvetica" w:cs="Helvetica"/>
                <w:sz w:val="14"/>
                <w:szCs w:val="14"/>
              </w:rPr>
              <w:br/>
              <w:t xml:space="preserve">†FREE JUMPSTARTER KIT OFFER: You must purchase a Meetings + </w:t>
            </w:r>
            <w:proofErr w:type="spellStart"/>
            <w:r w:rsidRPr="00896580">
              <w:rPr>
                <w:rFonts w:ascii="Helvetica" w:hAnsi="Helvetica" w:cs="Helvetica"/>
                <w:sz w:val="14"/>
                <w:szCs w:val="14"/>
              </w:rPr>
              <w:t>OnlinePlus</w:t>
            </w:r>
            <w:proofErr w:type="spellEnd"/>
            <w:r w:rsidRPr="00896580">
              <w:rPr>
                <w:rFonts w:ascii="Helvetica" w:hAnsi="Helvetica" w:cs="Helvetica"/>
                <w:sz w:val="14"/>
                <w:szCs w:val="14"/>
              </w:rPr>
              <w:t xml:space="preserve"> or </w:t>
            </w:r>
            <w:proofErr w:type="spellStart"/>
            <w:r w:rsidRPr="00896580">
              <w:rPr>
                <w:rFonts w:ascii="Helvetica" w:hAnsi="Helvetica" w:cs="Helvetica"/>
                <w:sz w:val="14"/>
                <w:szCs w:val="14"/>
              </w:rPr>
              <w:t>OnlinePlus</w:t>
            </w:r>
            <w:proofErr w:type="spellEnd"/>
            <w:r w:rsidRPr="00896580">
              <w:rPr>
                <w:rFonts w:ascii="Helvetica" w:hAnsi="Helvetica" w:cs="Helvetica"/>
                <w:sz w:val="14"/>
                <w:szCs w:val="14"/>
              </w:rPr>
              <w:t xml:space="preserve"> membership between 1/2/18 and 1/19/18 to get free kit. Available only where Weight Watchers memberships are offered through your workplace or health plan, and in participating areas only. One kit per member. Kit includes 4 popular products valued at $50. Kit must be redeemed by 2/2/18. While supplies last. US addresses only: no P.O. boxes or APO/FPO boxes. Please allow at least 3-4 weeks for delivery. Offer not available to current members. Offer may be revoked at any time and may not be redeemed for cash. Non-transferable. Void where prohibited.</w:t>
            </w:r>
            <w:r w:rsidRPr="00896580">
              <w:rPr>
                <w:rFonts w:ascii="Helvetica" w:hAnsi="Helvetica" w:cs="Helvetica"/>
                <w:sz w:val="14"/>
                <w:szCs w:val="14"/>
              </w:rPr>
              <w:br/>
            </w:r>
            <w:r w:rsidRPr="00896580">
              <w:rPr>
                <w:rFonts w:ascii="Helvetica" w:hAnsi="Helvetica" w:cs="Helvetica"/>
                <w:sz w:val="14"/>
                <w:szCs w:val="14"/>
              </w:rPr>
              <w:br/>
              <w:t>Weight Watchers and Points are the registered trademarks of Weight Watchers International, Inc. WW Freestyle is the trademark of Weight Watchers International, Inc. ©2018 Weight Watchers International, Inc. All rights reserved.</w:t>
            </w:r>
          </w:p>
        </w:tc>
      </w:tr>
      <w:tr w:rsidR="00896580" w:rsidTr="00896580">
        <w:trPr>
          <w:trHeight w:val="1080"/>
        </w:trPr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580" w:rsidRDefault="00896580" w:rsidP="00896580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56BDC29" wp14:editId="25E9EC29">
                  <wp:extent cx="1008400" cy="603849"/>
                  <wp:effectExtent l="0" t="0" r="1270" b="6350"/>
                  <wp:docPr id="1" name="Picture 1" descr="cid:image012.png@01D3809F.6E7FA1D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12.png@01D3809F.6E7FA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743" cy="63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580" w:rsidRPr="00896580" w:rsidRDefault="00896580" w:rsidP="00896580">
            <w:pPr>
              <w:jc w:val="center"/>
              <w:rPr>
                <w:b/>
                <w:bCs/>
                <w:color w:val="000000"/>
              </w:rPr>
            </w:pPr>
            <w:hyperlink r:id="rId27" w:history="1">
              <w:r w:rsidRPr="00896580">
                <w:rPr>
                  <w:rStyle w:val="Hyperlink"/>
                  <w:rFonts w:ascii="Arial" w:hAnsi="Arial" w:cs="Arial"/>
                  <w:b/>
                  <w:bCs/>
                  <w:color w:val="0070C0"/>
                  <w:sz w:val="18"/>
                </w:rPr>
                <w:t>www.nyc.gov/workwellnyc</w:t>
              </w:r>
            </w:hyperlink>
            <w:r w:rsidRPr="00896580">
              <w:rPr>
                <w:rFonts w:ascii="Arial" w:hAnsi="Arial" w:cs="Arial"/>
                <w:sz w:val="18"/>
              </w:rPr>
              <w:t xml:space="preserve"> || </w:t>
            </w:r>
            <w:hyperlink r:id="rId28" w:history="1">
              <w:r w:rsidRPr="00896580">
                <w:rPr>
                  <w:rStyle w:val="Hyperlink"/>
                  <w:rFonts w:ascii="Arial" w:hAnsi="Arial" w:cs="Arial"/>
                  <w:b/>
                  <w:bCs/>
                  <w:color w:val="0070C0"/>
                  <w:sz w:val="18"/>
                </w:rPr>
                <w:t>workwell@olr.nyc.gov</w:t>
              </w:r>
            </w:hyperlink>
          </w:p>
        </w:tc>
      </w:tr>
    </w:tbl>
    <w:p w:rsidR="00FE270D" w:rsidRDefault="00FE270D">
      <w:bookmarkStart w:id="0" w:name="_GoBack"/>
      <w:bookmarkEnd w:id="0"/>
    </w:p>
    <w:sectPr w:rsidR="00FE270D" w:rsidSect="00896580">
      <w:headerReference w:type="default" r:id="rId2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80" w:rsidRDefault="00896580" w:rsidP="00896580">
      <w:r>
        <w:separator/>
      </w:r>
    </w:p>
  </w:endnote>
  <w:endnote w:type="continuationSeparator" w:id="0">
    <w:p w:rsidR="00896580" w:rsidRDefault="00896580" w:rsidP="0089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80" w:rsidRDefault="00896580" w:rsidP="00896580">
      <w:r>
        <w:separator/>
      </w:r>
    </w:p>
  </w:footnote>
  <w:footnote w:type="continuationSeparator" w:id="0">
    <w:p w:rsidR="00896580" w:rsidRDefault="00896580" w:rsidP="00896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80" w:rsidRPr="00312AEF" w:rsidRDefault="00896580" w:rsidP="00896580">
    <w:pPr>
      <w:pStyle w:val="Header"/>
    </w:pPr>
    <w:r>
      <w:rPr>
        <w:rFonts w:eastAsia="Calibri"/>
        <w:b/>
      </w:rPr>
      <w:t>Rock Your Resolutions in 2018 with Weight Watchers Freestyle</w:t>
    </w:r>
    <w:r>
      <w:rPr>
        <w:rFonts w:eastAsia="Calibri"/>
        <w:b/>
      </w:rPr>
      <w:t xml:space="preserve">            </w:t>
    </w:r>
    <w:r>
      <w:rPr>
        <w:rFonts w:eastAsia="Calibri"/>
        <w:b/>
      </w:rPr>
      <w:tab/>
      <w:t xml:space="preserve">                           </w:t>
    </w:r>
    <w:r>
      <w:rPr>
        <w:rFonts w:eastAsia="Calibri"/>
        <w:b/>
      </w:rPr>
      <w:t xml:space="preserve">            </w:t>
    </w:r>
    <w:r>
      <w:rPr>
        <w:rFonts w:eastAsia="Calibri"/>
        <w:b/>
      </w:rPr>
      <w:t xml:space="preserve">      </w:t>
    </w:r>
    <w:r>
      <w:rPr>
        <w:rFonts w:eastAsia="Calibri"/>
      </w:rPr>
      <w:t>January 10, 2018</w:t>
    </w:r>
  </w:p>
  <w:p w:rsidR="00896580" w:rsidRDefault="00896580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6944"/>
    <w:multiLevelType w:val="hybridMultilevel"/>
    <w:tmpl w:val="63A8B630"/>
    <w:lvl w:ilvl="0" w:tplc="60CABC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F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80"/>
    <w:rsid w:val="00896580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9D7DB-826A-4A88-93EB-C15B0FE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658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58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6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58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38094.14FEBBB0" TargetMode="External"/><Relationship Id="rId13" Type="http://schemas.openxmlformats.org/officeDocument/2006/relationships/image" Target="cid:image001.jpg@01D38096.F995A520" TargetMode="External"/><Relationship Id="rId18" Type="http://schemas.openxmlformats.org/officeDocument/2006/relationships/hyperlink" Target="http://on.nyc.gov/2jZUrl6" TargetMode="External"/><Relationship Id="rId26" Type="http://schemas.openxmlformats.org/officeDocument/2006/relationships/image" Target="cid:image012.png@01D3809F.6E7FA1D0" TargetMode="External"/><Relationship Id="rId3" Type="http://schemas.openxmlformats.org/officeDocument/2006/relationships/settings" Target="settings.xml"/><Relationship Id="rId21" Type="http://schemas.openxmlformats.org/officeDocument/2006/relationships/image" Target="cid:image004.jpg@01D3809F.6E7FA1D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://bit.ly/2iSU4J0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cid:image003.jpg@01D38092.B006E9E0" TargetMode="External"/><Relationship Id="rId20" Type="http://schemas.openxmlformats.org/officeDocument/2006/relationships/image" Target="media/image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2Coc1It" TargetMode="External"/><Relationship Id="rId24" Type="http://schemas.openxmlformats.org/officeDocument/2006/relationships/image" Target="cid:image011.jpg@01D3809F.6E7FA1D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28" Type="http://schemas.openxmlformats.org/officeDocument/2006/relationships/hyperlink" Target="mailto:workwell@olr.nyc.gov" TargetMode="External"/><Relationship Id="rId10" Type="http://schemas.openxmlformats.org/officeDocument/2006/relationships/hyperlink" Target="http://on.nyc.gov/2AFumj1" TargetMode="External"/><Relationship Id="rId19" Type="http://schemas.openxmlformats.org/officeDocument/2006/relationships/hyperlink" Target="http://on.nyc.gov/2jZUrl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t.ly/2Ae7Tsp" TargetMode="External"/><Relationship Id="rId14" Type="http://schemas.openxmlformats.org/officeDocument/2006/relationships/hyperlink" Target="http://on.nyc.gov/2Du7x2o" TargetMode="External"/><Relationship Id="rId22" Type="http://schemas.openxmlformats.org/officeDocument/2006/relationships/hyperlink" Target="http://bit.ly/2z46NSd" TargetMode="External"/><Relationship Id="rId27" Type="http://schemas.openxmlformats.org/officeDocument/2006/relationships/hyperlink" Target="http://on.nyc.gov/2AFumj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Frieder</dc:creator>
  <cp:keywords/>
  <dc:description/>
  <cp:lastModifiedBy>Marissa Frieder</cp:lastModifiedBy>
  <cp:revision>1</cp:revision>
  <dcterms:created xsi:type="dcterms:W3CDTF">2018-01-19T16:54:00Z</dcterms:created>
  <dcterms:modified xsi:type="dcterms:W3CDTF">2018-01-19T17:03:00Z</dcterms:modified>
</cp:coreProperties>
</file>