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931A8" w:rsidTr="00620145">
        <w:tc>
          <w:tcPr>
            <w:tcW w:w="9350" w:type="dxa"/>
          </w:tcPr>
          <w:p w:rsidR="009931A8" w:rsidRDefault="009931A8" w:rsidP="00620145">
            <w:r w:rsidRPr="00706F8F">
              <w:rPr>
                <w:noProof/>
              </w:rPr>
              <w:drawing>
                <wp:inline distT="0" distB="0" distL="0" distR="0" wp14:anchorId="64C6A896" wp14:editId="343E5DC2">
                  <wp:extent cx="5715000" cy="1905000"/>
                  <wp:effectExtent l="0" t="0" r="0" b="0"/>
                  <wp:docPr id="3" name="Picture 3" descr="C:\Users\gisselle\Downloads\Happ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selle\Downloads\Happy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r w:rsidR="009931A8" w:rsidTr="00620145">
        <w:tc>
          <w:tcPr>
            <w:tcW w:w="9350" w:type="dxa"/>
          </w:tcPr>
          <w:p w:rsidR="009931A8" w:rsidRDefault="009931A8" w:rsidP="00620145">
            <w:pPr>
              <w:rPr>
                <w:rFonts w:ascii="Calibri" w:hAnsi="Calibri"/>
                <w:sz w:val="24"/>
              </w:rPr>
            </w:pPr>
          </w:p>
          <w:p w:rsidR="009931A8" w:rsidRPr="00AE5095" w:rsidRDefault="009931A8" w:rsidP="00620145">
            <w:pPr>
              <w:rPr>
                <w:rFonts w:ascii="Calibri" w:hAnsi="Calibri"/>
                <w:sz w:val="24"/>
              </w:rPr>
            </w:pPr>
            <w:r w:rsidRPr="00AE5095">
              <w:rPr>
                <w:rFonts w:ascii="Calibri" w:hAnsi="Calibri"/>
                <w:sz w:val="24"/>
              </w:rPr>
              <w:t xml:space="preserve">For more than 2 years, colleagues across the five boroughs have come together and lost more than </w:t>
            </w:r>
            <w:r w:rsidRPr="00E656C3">
              <w:rPr>
                <w:rFonts w:ascii="Calibri" w:hAnsi="Calibri"/>
                <w:b/>
                <w:sz w:val="24"/>
              </w:rPr>
              <w:t>90,800 pounds</w:t>
            </w:r>
            <w:r w:rsidRPr="00AE5095">
              <w:rPr>
                <w:rFonts w:ascii="Calibri" w:hAnsi="Calibri"/>
                <w:sz w:val="24"/>
              </w:rPr>
              <w:t xml:space="preserve"> through participation in Weight Watchers. Here’s how some leaders across the city have made small changes that led to big results! </w:t>
            </w:r>
          </w:p>
          <w:p w:rsidR="009931A8" w:rsidRDefault="009931A8" w:rsidP="00620145"/>
        </w:tc>
      </w:tr>
      <w:tr w:rsidR="009931A8" w:rsidTr="00620145">
        <w:tc>
          <w:tcPr>
            <w:tcW w:w="9350" w:type="dxa"/>
          </w:tcPr>
          <w:p w:rsidR="009931A8" w:rsidRDefault="009931A8" w:rsidP="00620145">
            <w:r w:rsidRPr="009931A8">
              <w:rPr>
                <w:noProof/>
              </w:rPr>
              <w:drawing>
                <wp:inline distT="0" distB="0" distL="0" distR="0" wp14:anchorId="579F9818" wp14:editId="209AA889">
                  <wp:extent cx="5717540" cy="1905635"/>
                  <wp:effectExtent l="0" t="0" r="0" b="0"/>
                  <wp:docPr id="1" name="Picture 1" descr="C:\Users\imo_jah\Downloads\WW Eblas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o_jah\Downloads\WW Eblast (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540" cy="1905635"/>
                          </a:xfrm>
                          <a:prstGeom prst="rect">
                            <a:avLst/>
                          </a:prstGeom>
                          <a:noFill/>
                          <a:ln>
                            <a:noFill/>
                          </a:ln>
                        </pic:spPr>
                      </pic:pic>
                    </a:graphicData>
                  </a:graphic>
                </wp:inline>
              </w:drawing>
            </w:r>
          </w:p>
        </w:tc>
      </w:tr>
      <w:tr w:rsidR="009931A8" w:rsidTr="00620145">
        <w:tc>
          <w:tcPr>
            <w:tcW w:w="9350" w:type="dxa"/>
          </w:tcPr>
          <w:p w:rsidR="009931A8" w:rsidRDefault="009931A8" w:rsidP="00620145">
            <w:r w:rsidRPr="009931A8">
              <w:rPr>
                <w:noProof/>
              </w:rPr>
              <w:drawing>
                <wp:inline distT="0" distB="0" distL="0" distR="0" wp14:anchorId="6840651C" wp14:editId="0973DF1B">
                  <wp:extent cx="5717540" cy="1905635"/>
                  <wp:effectExtent l="0" t="0" r="0" b="0"/>
                  <wp:docPr id="9" name="Picture 9" descr="C:\Users\imo_jah\Downloads\WW Eblas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o_jah\Downloads\WW Eblast (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540" cy="1905635"/>
                          </a:xfrm>
                          <a:prstGeom prst="rect">
                            <a:avLst/>
                          </a:prstGeom>
                          <a:noFill/>
                          <a:ln>
                            <a:noFill/>
                          </a:ln>
                        </pic:spPr>
                      </pic:pic>
                    </a:graphicData>
                  </a:graphic>
                </wp:inline>
              </w:drawing>
            </w:r>
          </w:p>
        </w:tc>
      </w:tr>
      <w:tr w:rsidR="009931A8" w:rsidTr="00620145">
        <w:tc>
          <w:tcPr>
            <w:tcW w:w="9350" w:type="dxa"/>
          </w:tcPr>
          <w:p w:rsidR="009931A8" w:rsidRDefault="009931A8" w:rsidP="00620145">
            <w:r w:rsidRPr="009931A8">
              <w:rPr>
                <w:noProof/>
              </w:rPr>
              <w:drawing>
                <wp:inline distT="0" distB="0" distL="0" distR="0" wp14:anchorId="3D42D2EB" wp14:editId="47A25F7B">
                  <wp:extent cx="5717540" cy="1905635"/>
                  <wp:effectExtent l="0" t="0" r="0" b="0"/>
                  <wp:docPr id="6" name="Picture 6" descr="C:\Users\imo_jah\Downloads\WW Eblas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o_jah\Downloads\WW Eblast (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7540" cy="1905635"/>
                          </a:xfrm>
                          <a:prstGeom prst="rect">
                            <a:avLst/>
                          </a:prstGeom>
                          <a:noFill/>
                          <a:ln>
                            <a:noFill/>
                          </a:ln>
                        </pic:spPr>
                      </pic:pic>
                    </a:graphicData>
                  </a:graphic>
                </wp:inline>
              </w:drawing>
            </w:r>
          </w:p>
        </w:tc>
      </w:tr>
      <w:tr w:rsidR="009931A8" w:rsidTr="00620145">
        <w:tc>
          <w:tcPr>
            <w:tcW w:w="9350" w:type="dxa"/>
          </w:tcPr>
          <w:p w:rsidR="009931A8" w:rsidRDefault="009931A8" w:rsidP="00620145">
            <w:pPr>
              <w:tabs>
                <w:tab w:val="left" w:pos="1995"/>
              </w:tabs>
            </w:pPr>
          </w:p>
          <w:p w:rsidR="009931A8" w:rsidRPr="0062431B" w:rsidRDefault="009931A8" w:rsidP="00620145">
            <w:pPr>
              <w:tabs>
                <w:tab w:val="left" w:pos="1995"/>
              </w:tabs>
            </w:pPr>
            <w:r>
              <w:t xml:space="preserve">Read </w:t>
            </w:r>
            <w:r w:rsidRPr="00032B20">
              <w:t>Artie</w:t>
            </w:r>
            <w:r>
              <w:t xml:space="preserve">, Sherry and </w:t>
            </w:r>
            <w:r w:rsidRPr="00032B20">
              <w:t>Tara’s</w:t>
            </w:r>
            <w:r>
              <w:t xml:space="preserve"> full stories </w:t>
            </w:r>
            <w:r w:rsidRPr="00D038E4">
              <w:rPr>
                <w:color w:val="FF0000"/>
              </w:rPr>
              <w:t xml:space="preserve">add link. </w:t>
            </w:r>
            <w:r>
              <w:t xml:space="preserve">Join in their success by visiting </w:t>
            </w:r>
            <w:hyperlink r:id="rId10" w:history="1">
              <w:r>
                <w:rPr>
                  <w:rStyle w:val="Hyperlink"/>
                </w:rPr>
                <w:t>http://nyc.join.weightwatchers.com</w:t>
              </w:r>
            </w:hyperlink>
            <w:r>
              <w:t xml:space="preserve"> to sign up today.  E</w:t>
            </w:r>
            <w:r w:rsidRPr="002D5FB5">
              <w:t xml:space="preserve">mployees can take advantage of a subsidy </w:t>
            </w:r>
            <w:r w:rsidRPr="00603EAF">
              <w:t xml:space="preserve">that reduces the cost of membership by </w:t>
            </w:r>
            <w:r w:rsidRPr="00603EAF">
              <w:rPr>
                <w:rStyle w:val="Strong"/>
              </w:rPr>
              <w:t>more than 50%</w:t>
            </w:r>
            <w:r w:rsidRPr="00603EAF">
              <w:t xml:space="preserve"> off the regular membership price</w:t>
            </w:r>
            <w:r w:rsidRPr="00603EAF">
              <w:rPr>
                <w:color w:val="2E74B5" w:themeColor="accent1" w:themeShade="BF"/>
              </w:rPr>
              <w:t>*</w:t>
            </w:r>
            <w:r>
              <w:rPr>
                <w:color w:val="2E74B5" w:themeColor="accent1" w:themeShade="BF"/>
              </w:rPr>
              <w:t>*</w:t>
            </w:r>
            <w:r>
              <w:t xml:space="preserve">. </w:t>
            </w:r>
            <w:r>
              <w:rPr>
                <w:lang w:val="en-GB"/>
              </w:rPr>
              <w:t>S</w:t>
            </w:r>
            <w:r w:rsidRPr="00603EAF">
              <w:rPr>
                <w:lang w:val="en-GB"/>
              </w:rPr>
              <w:t>pouses/domestic partners, dependents (ages 18-26) and retirees</w:t>
            </w:r>
            <w:r w:rsidRPr="005B41A1">
              <w:rPr>
                <w:color w:val="2E74B5"/>
              </w:rPr>
              <w:t>†</w:t>
            </w:r>
            <w:r w:rsidRPr="00603EAF">
              <w:rPr>
                <w:lang w:val="en-GB"/>
              </w:rPr>
              <w:t xml:space="preserve"> are also eligible for discounted pricing through the WorkWell NYC partnership with Weight Watchers – making health a family affair!</w:t>
            </w:r>
          </w:p>
          <w:p w:rsidR="009931A8" w:rsidRPr="005438D5" w:rsidRDefault="009931A8" w:rsidP="00620145">
            <w:pPr>
              <w:pStyle w:val="NormalWeb"/>
              <w:rPr>
                <w:rFonts w:asciiTheme="minorHAnsi" w:hAnsiTheme="minorHAnsi"/>
                <w:sz w:val="22"/>
                <w:szCs w:val="22"/>
              </w:rPr>
            </w:pPr>
          </w:p>
          <w:tbl>
            <w:tblPr>
              <w:tblStyle w:val="GridTable4-Accent61"/>
              <w:tblpPr w:leftFromText="180" w:rightFromText="180" w:vertAnchor="text" w:horzAnchor="margin" w:tblpXSpec="center" w:tblpYSpec="bottom"/>
              <w:tblW w:w="0" w:type="auto"/>
              <w:tblLook w:val="04A0" w:firstRow="1" w:lastRow="0" w:firstColumn="1" w:lastColumn="0" w:noHBand="0" w:noVBand="1"/>
            </w:tblPr>
            <w:tblGrid>
              <w:gridCol w:w="3775"/>
              <w:gridCol w:w="4140"/>
            </w:tblGrid>
            <w:tr w:rsidR="009931A8" w:rsidRPr="00C027B5" w:rsidTr="0062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hideMark/>
                </w:tcPr>
                <w:p w:rsidR="009931A8" w:rsidRPr="0011216B" w:rsidRDefault="009931A8" w:rsidP="00620145">
                  <w:pPr>
                    <w:jc w:val="center"/>
                    <w:rPr>
                      <w:b w:val="0"/>
                      <w:color w:val="auto"/>
                      <w:sz w:val="24"/>
                    </w:rPr>
                  </w:pPr>
                  <w:r w:rsidRPr="00B57ACB">
                    <w:rPr>
                      <w:rStyle w:val="Strong"/>
                      <w:b/>
                      <w:sz w:val="24"/>
                    </w:rPr>
                    <w:t>Weight Watchers Offering</w:t>
                  </w:r>
                </w:p>
              </w:tc>
              <w:tc>
                <w:tcPr>
                  <w:tcW w:w="4140" w:type="dxa"/>
                  <w:hideMark/>
                </w:tcPr>
                <w:p w:rsidR="009931A8" w:rsidRDefault="009931A8" w:rsidP="00620145">
                  <w:pPr>
                    <w:jc w:val="center"/>
                    <w:cnfStyle w:val="100000000000" w:firstRow="1" w:lastRow="0" w:firstColumn="0" w:lastColumn="0" w:oddVBand="0" w:evenVBand="0" w:oddHBand="0" w:evenHBand="0" w:firstRowFirstColumn="0" w:firstRowLastColumn="0" w:lastRowFirstColumn="0" w:lastRowLastColumn="0"/>
                    <w:rPr>
                      <w:rStyle w:val="Strong"/>
                      <w:b/>
                      <w:sz w:val="24"/>
                    </w:rPr>
                  </w:pPr>
                  <w:r w:rsidRPr="00B57ACB">
                    <w:rPr>
                      <w:rStyle w:val="Strong"/>
                      <w:b/>
                      <w:sz w:val="24"/>
                    </w:rPr>
                    <w:t>NYC Employee Special Pricing</w:t>
                  </w:r>
                </w:p>
                <w:p w:rsidR="00B57ACB" w:rsidRPr="0011216B" w:rsidRDefault="00B57ACB" w:rsidP="00620145">
                  <w:pPr>
                    <w:jc w:val="center"/>
                    <w:cnfStyle w:val="100000000000" w:firstRow="1" w:lastRow="0" w:firstColumn="0" w:lastColumn="0" w:oddVBand="0" w:evenVBand="0" w:oddHBand="0" w:evenHBand="0" w:firstRowFirstColumn="0" w:firstRowLastColumn="0" w:lastRowFirstColumn="0" w:lastRowLastColumn="0"/>
                    <w:rPr>
                      <w:b w:val="0"/>
                      <w:bCs w:val="0"/>
                      <w:color w:val="auto"/>
                      <w:sz w:val="24"/>
                    </w:rPr>
                  </w:pPr>
                </w:p>
              </w:tc>
            </w:tr>
            <w:tr w:rsidR="009931A8" w:rsidRPr="00C027B5" w:rsidTr="00620145">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775" w:type="dxa"/>
                  <w:hideMark/>
                </w:tcPr>
                <w:p w:rsidR="009931A8" w:rsidRPr="002D5FB5" w:rsidRDefault="009931A8" w:rsidP="00620145">
                  <w:pPr>
                    <w:jc w:val="center"/>
                  </w:pPr>
                  <w:r w:rsidRPr="00C027B5">
                    <w:rPr>
                      <w:rStyle w:val="Strong"/>
                    </w:rPr>
                    <w:t xml:space="preserve">Meetings (Includes </w:t>
                  </w:r>
                  <w:proofErr w:type="spellStart"/>
                  <w:r w:rsidRPr="00C027B5">
                    <w:rPr>
                      <w:rStyle w:val="Strong"/>
                    </w:rPr>
                    <w:t>Online</w:t>
                  </w:r>
                  <w:r w:rsidRPr="00C027B5">
                    <w:rPr>
                      <w:rStyle w:val="Emphasis"/>
                    </w:rPr>
                    <w:t>Plus</w:t>
                  </w:r>
                  <w:proofErr w:type="spellEnd"/>
                  <w:r w:rsidRPr="00C027B5">
                    <w:rPr>
                      <w:rStyle w:val="Strong"/>
                    </w:rPr>
                    <w:t>) at work or in your local community</w:t>
                  </w:r>
                </w:p>
              </w:tc>
              <w:tc>
                <w:tcPr>
                  <w:tcW w:w="4140" w:type="dxa"/>
                  <w:hideMark/>
                </w:tcPr>
                <w:p w:rsidR="009931A8" w:rsidRPr="002D5FB5" w:rsidRDefault="009931A8" w:rsidP="00620145">
                  <w:pPr>
                    <w:jc w:val="center"/>
                    <w:cnfStyle w:val="000000100000" w:firstRow="0" w:lastRow="0" w:firstColumn="0" w:lastColumn="0" w:oddVBand="0" w:evenVBand="0" w:oddHBand="1" w:evenHBand="0" w:firstRowFirstColumn="0" w:firstRowLastColumn="0" w:lastRowFirstColumn="0" w:lastRowLastColumn="0"/>
                  </w:pPr>
                  <w:r w:rsidRPr="00C027B5">
                    <w:t>$15.00 per month</w:t>
                  </w:r>
                </w:p>
              </w:tc>
            </w:tr>
            <w:tr w:rsidR="009931A8" w:rsidRPr="00C027B5" w:rsidTr="00620145">
              <w:trPr>
                <w:trHeight w:val="353"/>
              </w:trPr>
              <w:tc>
                <w:tcPr>
                  <w:cnfStyle w:val="001000000000" w:firstRow="0" w:lastRow="0" w:firstColumn="1" w:lastColumn="0" w:oddVBand="0" w:evenVBand="0" w:oddHBand="0" w:evenHBand="0" w:firstRowFirstColumn="0" w:firstRowLastColumn="0" w:lastRowFirstColumn="0" w:lastRowLastColumn="0"/>
                  <w:tcW w:w="3775" w:type="dxa"/>
                  <w:hideMark/>
                </w:tcPr>
                <w:p w:rsidR="009931A8" w:rsidRPr="002D5FB5" w:rsidRDefault="009931A8" w:rsidP="00620145">
                  <w:pPr>
                    <w:jc w:val="center"/>
                  </w:pPr>
                  <w:proofErr w:type="spellStart"/>
                  <w:r w:rsidRPr="00C027B5">
                    <w:rPr>
                      <w:rStyle w:val="Strong"/>
                    </w:rPr>
                    <w:t>Online</w:t>
                  </w:r>
                  <w:r w:rsidRPr="00C027B5">
                    <w:rPr>
                      <w:rStyle w:val="Emphasis"/>
                    </w:rPr>
                    <w:t>Plus</w:t>
                  </w:r>
                  <w:proofErr w:type="spellEnd"/>
                </w:p>
              </w:tc>
              <w:tc>
                <w:tcPr>
                  <w:tcW w:w="4140" w:type="dxa"/>
                  <w:hideMark/>
                </w:tcPr>
                <w:p w:rsidR="009931A8" w:rsidRDefault="009931A8" w:rsidP="00620145">
                  <w:pPr>
                    <w:jc w:val="center"/>
                    <w:cnfStyle w:val="000000000000" w:firstRow="0" w:lastRow="0" w:firstColumn="0" w:lastColumn="0" w:oddVBand="0" w:evenVBand="0" w:oddHBand="0" w:evenHBand="0" w:firstRowFirstColumn="0" w:firstRowLastColumn="0" w:lastRowFirstColumn="0" w:lastRowLastColumn="0"/>
                  </w:pPr>
                  <w:r w:rsidRPr="00C027B5">
                    <w:t>$7.00 per month</w:t>
                  </w:r>
                </w:p>
                <w:p w:rsidR="00B57ACB" w:rsidRPr="002D5FB5" w:rsidRDefault="00B57ACB" w:rsidP="00620145">
                  <w:pPr>
                    <w:jc w:val="center"/>
                    <w:cnfStyle w:val="000000000000" w:firstRow="0" w:lastRow="0" w:firstColumn="0" w:lastColumn="0" w:oddVBand="0" w:evenVBand="0" w:oddHBand="0" w:evenHBand="0" w:firstRowFirstColumn="0" w:firstRowLastColumn="0" w:lastRowFirstColumn="0" w:lastRowLastColumn="0"/>
                  </w:pPr>
                </w:p>
              </w:tc>
            </w:tr>
          </w:tbl>
          <w:p w:rsidR="009931A8" w:rsidRDefault="009931A8" w:rsidP="00620145">
            <w:pPr>
              <w:ind w:left="360"/>
            </w:pPr>
          </w:p>
          <w:p w:rsidR="009931A8" w:rsidRDefault="009931A8" w:rsidP="00620145">
            <w:pPr>
              <w:ind w:left="360"/>
            </w:pPr>
          </w:p>
          <w:p w:rsidR="009931A8" w:rsidRDefault="009931A8" w:rsidP="00620145">
            <w:pPr>
              <w:tabs>
                <w:tab w:val="left" w:pos="1995"/>
              </w:tabs>
            </w:pPr>
          </w:p>
          <w:p w:rsidR="009931A8" w:rsidRDefault="009931A8" w:rsidP="00620145">
            <w:pPr>
              <w:tabs>
                <w:tab w:val="left" w:pos="1995"/>
              </w:tabs>
            </w:pPr>
          </w:p>
          <w:p w:rsidR="009931A8" w:rsidRDefault="009931A8" w:rsidP="00620145"/>
        </w:tc>
      </w:tr>
      <w:tr w:rsidR="009931A8" w:rsidTr="00620145">
        <w:tc>
          <w:tcPr>
            <w:tcW w:w="9350" w:type="dxa"/>
          </w:tcPr>
          <w:p w:rsidR="009931A8" w:rsidRDefault="009931A8" w:rsidP="00620145">
            <w:pPr>
              <w:pStyle w:val="NormalWeb"/>
              <w:rPr>
                <w:rFonts w:asciiTheme="minorHAnsi" w:hAnsiTheme="minorHAnsi"/>
                <w:sz w:val="22"/>
                <w:szCs w:val="22"/>
              </w:rPr>
            </w:pPr>
          </w:p>
        </w:tc>
      </w:tr>
      <w:tr w:rsidR="009931A8" w:rsidTr="00620145">
        <w:tc>
          <w:tcPr>
            <w:tcW w:w="9350" w:type="dxa"/>
          </w:tcPr>
          <w:p w:rsidR="009931A8" w:rsidRDefault="009931A8" w:rsidP="00620145">
            <w:pPr>
              <w:tabs>
                <w:tab w:val="left" w:pos="1995"/>
              </w:tabs>
              <w:rPr>
                <w:b/>
                <w:color w:val="00B0F0"/>
                <w:sz w:val="28"/>
                <w:szCs w:val="28"/>
              </w:rPr>
            </w:pPr>
          </w:p>
          <w:p w:rsidR="009931A8" w:rsidRDefault="009931A8" w:rsidP="00620145">
            <w:pPr>
              <w:tabs>
                <w:tab w:val="left" w:pos="1995"/>
              </w:tabs>
              <w:rPr>
                <w:b/>
                <w:color w:val="00B0F0"/>
                <w:sz w:val="28"/>
                <w:szCs w:val="28"/>
              </w:rPr>
            </w:pPr>
            <w:r>
              <w:rPr>
                <w:b/>
                <w:color w:val="00B0F0"/>
                <w:sz w:val="28"/>
                <w:szCs w:val="28"/>
              </w:rPr>
              <w:t xml:space="preserve">Find an At-Work Meeting near you! </w:t>
            </w:r>
          </w:p>
          <w:p w:rsidR="009931A8" w:rsidRDefault="009931A8" w:rsidP="00620145">
            <w:pPr>
              <w:tabs>
                <w:tab w:val="left" w:pos="1995"/>
              </w:tabs>
              <w:rPr>
                <w:szCs w:val="28"/>
              </w:rPr>
            </w:pPr>
            <w:r w:rsidRPr="00694808">
              <w:rPr>
                <w:szCs w:val="28"/>
              </w:rPr>
              <w:t xml:space="preserve">There are currently </w:t>
            </w:r>
            <w:r w:rsidRPr="00694808">
              <w:rPr>
                <w:b/>
                <w:szCs w:val="28"/>
              </w:rPr>
              <w:t>100</w:t>
            </w:r>
            <w:r w:rsidRPr="00694808">
              <w:rPr>
                <w:szCs w:val="28"/>
              </w:rPr>
              <w:t xml:space="preserve"> At-Work meetings happening throughout NYC! </w:t>
            </w:r>
          </w:p>
          <w:p w:rsidR="009931A8" w:rsidRPr="00694808" w:rsidRDefault="009931A8" w:rsidP="00620145">
            <w:pPr>
              <w:tabs>
                <w:tab w:val="left" w:pos="1995"/>
              </w:tabs>
              <w:rPr>
                <w:szCs w:val="28"/>
              </w:rPr>
            </w:pPr>
            <w:r w:rsidRPr="00694808">
              <w:rPr>
                <w:szCs w:val="28"/>
              </w:rPr>
              <w:t xml:space="preserve">Visit </w:t>
            </w:r>
            <w:hyperlink r:id="rId11" w:history="1">
              <w:r>
                <w:rPr>
                  <w:rStyle w:val="Hyperlink"/>
                  <w:szCs w:val="28"/>
                </w:rPr>
                <w:t>http://www1.nyc.gov/site/olr/wellness/wellness-atworkmeetings.page</w:t>
              </w:r>
            </w:hyperlink>
            <w:r w:rsidRPr="00694808">
              <w:rPr>
                <w:szCs w:val="28"/>
              </w:rPr>
              <w:t xml:space="preserve"> to locate a meeting near you. </w:t>
            </w:r>
          </w:p>
          <w:p w:rsidR="009931A8" w:rsidRDefault="009931A8" w:rsidP="00620145">
            <w:pPr>
              <w:tabs>
                <w:tab w:val="left" w:pos="1995"/>
              </w:tabs>
              <w:rPr>
                <w:b/>
                <w:color w:val="00B0F0"/>
                <w:sz w:val="28"/>
                <w:szCs w:val="28"/>
              </w:rPr>
            </w:pPr>
          </w:p>
          <w:p w:rsidR="009931A8" w:rsidRDefault="009931A8" w:rsidP="00620145">
            <w:pPr>
              <w:tabs>
                <w:tab w:val="left" w:pos="1995"/>
              </w:tabs>
            </w:pPr>
            <w:r w:rsidRPr="0062431B">
              <w:rPr>
                <w:b/>
                <w:color w:val="00B0F0"/>
                <w:sz w:val="28"/>
                <w:szCs w:val="28"/>
              </w:rPr>
              <w:t xml:space="preserve">Are you already at WW Member? </w:t>
            </w:r>
          </w:p>
          <w:p w:rsidR="009931A8" w:rsidRDefault="009931A8" w:rsidP="00620145">
            <w:r>
              <w:t>Invite a friend from work to join now through December 31</w:t>
            </w:r>
            <w:r>
              <w:rPr>
                <w:vertAlign w:val="superscript"/>
              </w:rPr>
              <w:t>st</w:t>
            </w:r>
            <w:r>
              <w:t xml:space="preserve"> and you’ll both receive a FREE 6-month subscription (3-issues) to Weight Watchers Magazine***. The more colleagues you sign up, the longer the magazine subscription you’ll receive. Visit </w:t>
            </w:r>
            <w:hyperlink r:id="rId12" w:history="1">
              <w:r w:rsidRPr="00A77E9B">
                <w:rPr>
                  <w:rStyle w:val="Hyperlink"/>
                </w:rPr>
                <w:t>www.weightwatchers.com/us/invite</w:t>
              </w:r>
            </w:hyperlink>
            <w:r>
              <w:t xml:space="preserve"> to send your colleague an invitation join</w:t>
            </w:r>
            <w:r w:rsidR="00506A81">
              <w:t>.</w:t>
            </w:r>
          </w:p>
          <w:p w:rsidR="009931A8" w:rsidRDefault="009931A8" w:rsidP="00620145">
            <w:pPr>
              <w:rPr>
                <w:color w:val="1F497D"/>
              </w:rPr>
            </w:pPr>
          </w:p>
          <w:p w:rsidR="009931A8" w:rsidRDefault="009931A8" w:rsidP="00620145">
            <w:pPr>
              <w:rPr>
                <w:color w:val="1F497D"/>
              </w:rPr>
            </w:pPr>
          </w:p>
          <w:p w:rsidR="009931A8" w:rsidRDefault="009931A8" w:rsidP="00620145">
            <w:pPr>
              <w:tabs>
                <w:tab w:val="left" w:pos="1995"/>
              </w:tabs>
            </w:pPr>
            <w:r w:rsidRPr="0062431B">
              <w:rPr>
                <w:b/>
                <w:color w:val="00B0F0"/>
                <w:sz w:val="28"/>
                <w:szCs w:val="28"/>
              </w:rPr>
              <w:t>Do you have a success story to share?</w:t>
            </w:r>
          </w:p>
          <w:p w:rsidR="009931A8" w:rsidRDefault="00EC2ACC" w:rsidP="00620145">
            <w:pPr>
              <w:tabs>
                <w:tab w:val="left" w:pos="1995"/>
              </w:tabs>
            </w:pPr>
            <w:r>
              <w:t>We want to hear from you!</w:t>
            </w:r>
            <w:r w:rsidR="009931A8">
              <w:t xml:space="preserve"> Share your journey and be inspired by others using #</w:t>
            </w:r>
            <w:proofErr w:type="spellStart"/>
            <w:r w:rsidR="009931A8">
              <w:t>WWorkWell</w:t>
            </w:r>
            <w:proofErr w:type="spellEnd"/>
            <w:r w:rsidR="009931A8">
              <w:t xml:space="preserve"> in your Connect</w:t>
            </w:r>
            <w:r w:rsidR="005B41A1" w:rsidRPr="005B41A1">
              <w:rPr>
                <w:color w:val="2E74B5"/>
                <w:sz w:val="28"/>
                <w:vertAlign w:val="superscript"/>
              </w:rPr>
              <w:t>‡</w:t>
            </w:r>
            <w:r w:rsidR="005B41A1" w:rsidRPr="005B41A1">
              <w:rPr>
                <w:sz w:val="24"/>
              </w:rPr>
              <w:t xml:space="preserve"> </w:t>
            </w:r>
            <w:r w:rsidR="009931A8">
              <w:t xml:space="preserve">posts and </w:t>
            </w:r>
            <w:proofErr w:type="spellStart"/>
            <w:r w:rsidR="009931A8">
              <w:t>WWorkWell</w:t>
            </w:r>
            <w:proofErr w:type="spellEnd"/>
            <w:r w:rsidR="009931A8">
              <w:t xml:space="preserve"> in your Connect tagline. </w:t>
            </w:r>
          </w:p>
          <w:p w:rsidR="009931A8" w:rsidRDefault="009931A8" w:rsidP="00620145">
            <w:pPr>
              <w:rPr>
                <w:color w:val="1F497D"/>
              </w:rPr>
            </w:pPr>
          </w:p>
          <w:p w:rsidR="009931A8" w:rsidRDefault="009931A8" w:rsidP="00620145">
            <w:pPr>
              <w:rPr>
                <w:rFonts w:ascii="Calibri" w:hAnsi="Calibri"/>
                <w:color w:val="1F497D"/>
              </w:rPr>
            </w:pPr>
          </w:p>
          <w:p w:rsidR="009931A8" w:rsidRDefault="009931A8" w:rsidP="00620145">
            <w:pPr>
              <w:tabs>
                <w:tab w:val="left" w:pos="1995"/>
              </w:tabs>
            </w:pPr>
          </w:p>
          <w:p w:rsidR="009931A8" w:rsidRDefault="009931A8" w:rsidP="00620145">
            <w:pPr>
              <w:tabs>
                <w:tab w:val="left" w:pos="1995"/>
              </w:tabs>
            </w:pPr>
          </w:p>
          <w:p w:rsidR="009931A8" w:rsidRDefault="009931A8" w:rsidP="00620145">
            <w:pPr>
              <w:tabs>
                <w:tab w:val="left" w:pos="1995"/>
              </w:tabs>
            </w:pPr>
          </w:p>
          <w:p w:rsidR="009931A8" w:rsidRDefault="009931A8" w:rsidP="00620145">
            <w:pPr>
              <w:tabs>
                <w:tab w:val="left" w:pos="1995"/>
              </w:tabs>
              <w:jc w:val="center"/>
            </w:pPr>
            <w:r>
              <w:rPr>
                <w:rStyle w:val="apple-converted-space"/>
                <w:b/>
                <w:noProof/>
                <w:color w:val="333333"/>
                <w:sz w:val="20"/>
                <w:shd w:val="clear" w:color="auto" w:fill="FFFFFF"/>
              </w:rPr>
              <w:drawing>
                <wp:inline distT="0" distB="0" distL="0" distR="0" wp14:anchorId="3B35D0EB" wp14:editId="1A9C9C0B">
                  <wp:extent cx="1288679" cy="77003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8873" cy="776121"/>
                          </a:xfrm>
                          <a:prstGeom prst="rect">
                            <a:avLst/>
                          </a:prstGeom>
                          <a:noFill/>
                        </pic:spPr>
                      </pic:pic>
                    </a:graphicData>
                  </a:graphic>
                </wp:inline>
              </w:drawing>
            </w:r>
          </w:p>
          <w:p w:rsidR="009931A8" w:rsidRDefault="009931A8" w:rsidP="00620145">
            <w:pPr>
              <w:tabs>
                <w:tab w:val="left" w:pos="1995"/>
              </w:tabs>
              <w:jc w:val="center"/>
            </w:pPr>
          </w:p>
          <w:p w:rsidR="009931A8" w:rsidRDefault="00D079EC" w:rsidP="00620145">
            <w:pPr>
              <w:tabs>
                <w:tab w:val="left" w:pos="1995"/>
              </w:tabs>
              <w:jc w:val="center"/>
            </w:pPr>
            <w:hyperlink r:id="rId14" w:history="1">
              <w:r w:rsidR="009931A8" w:rsidRPr="00673332">
                <w:rPr>
                  <w:rStyle w:val="Hyperlink"/>
                </w:rPr>
                <w:t>www.nyc.gov/workwellnyc</w:t>
              </w:r>
            </w:hyperlink>
            <w:r w:rsidR="009931A8">
              <w:t xml:space="preserve"> || </w:t>
            </w:r>
            <w:hyperlink r:id="rId15" w:history="1">
              <w:r w:rsidR="009931A8" w:rsidRPr="00673332">
                <w:rPr>
                  <w:rStyle w:val="Hyperlink"/>
                </w:rPr>
                <w:t>workwell@olr.nyc.gov</w:t>
              </w:r>
            </w:hyperlink>
          </w:p>
          <w:p w:rsidR="009931A8" w:rsidRDefault="009931A8" w:rsidP="00620145">
            <w:pPr>
              <w:tabs>
                <w:tab w:val="left" w:pos="1995"/>
              </w:tabs>
            </w:pPr>
          </w:p>
          <w:p w:rsidR="009931A8" w:rsidRPr="00D81FD0" w:rsidRDefault="009931A8" w:rsidP="00620145">
            <w:pPr>
              <w:pStyle w:val="NormalWeb"/>
              <w:ind w:left="360"/>
              <w:rPr>
                <w:rFonts w:asciiTheme="minorHAnsi" w:hAnsiTheme="minorHAnsi"/>
                <w:color w:val="262626" w:themeColor="text1" w:themeTint="D9"/>
                <w:sz w:val="20"/>
                <w:szCs w:val="22"/>
              </w:rPr>
            </w:pPr>
            <w:r>
              <w:rPr>
                <w:rFonts w:asciiTheme="minorHAnsi" w:hAnsiTheme="minorHAnsi"/>
                <w:color w:val="2E74B5" w:themeColor="accent1" w:themeShade="BF"/>
                <w:sz w:val="22"/>
                <w:szCs w:val="22"/>
              </w:rPr>
              <w:t xml:space="preserve">* </w:t>
            </w:r>
            <w:r w:rsidRPr="00D81FD0">
              <w:rPr>
                <w:rFonts w:asciiTheme="minorHAnsi" w:hAnsiTheme="minorHAnsi"/>
                <w:color w:val="262626" w:themeColor="text1" w:themeTint="D9"/>
                <w:sz w:val="20"/>
                <w:szCs w:val="22"/>
              </w:rPr>
              <w:t xml:space="preserve">People following the Weight Watchers plan can expect to lose 1-2 </w:t>
            </w:r>
            <w:proofErr w:type="spellStart"/>
            <w:r w:rsidRPr="00D81FD0">
              <w:rPr>
                <w:rFonts w:asciiTheme="minorHAnsi" w:hAnsiTheme="minorHAnsi"/>
                <w:color w:val="262626" w:themeColor="text1" w:themeTint="D9"/>
                <w:sz w:val="20"/>
                <w:szCs w:val="22"/>
              </w:rPr>
              <w:t>lbs</w:t>
            </w:r>
            <w:proofErr w:type="spellEnd"/>
            <w:r w:rsidRPr="00D81FD0">
              <w:rPr>
                <w:rFonts w:asciiTheme="minorHAnsi" w:hAnsiTheme="minorHAnsi"/>
                <w:color w:val="262626" w:themeColor="text1" w:themeTint="D9"/>
                <w:sz w:val="20"/>
                <w:szCs w:val="22"/>
              </w:rPr>
              <w:t>/week.</w:t>
            </w:r>
          </w:p>
          <w:p w:rsidR="009931A8" w:rsidRPr="001B124C" w:rsidRDefault="009931A8" w:rsidP="00620145">
            <w:pPr>
              <w:pStyle w:val="NormalWeb"/>
              <w:ind w:left="360"/>
              <w:rPr>
                <w:rFonts w:asciiTheme="minorHAnsi" w:hAnsiTheme="minorHAnsi"/>
                <w:color w:val="333333"/>
                <w:sz w:val="20"/>
                <w:szCs w:val="22"/>
                <w:shd w:val="clear" w:color="auto" w:fill="FFFFFF"/>
              </w:rPr>
            </w:pPr>
            <w:r>
              <w:rPr>
                <w:rFonts w:asciiTheme="minorHAnsi" w:hAnsiTheme="minorHAnsi"/>
                <w:color w:val="2E74B5" w:themeColor="accent1" w:themeShade="BF"/>
                <w:sz w:val="22"/>
                <w:szCs w:val="22"/>
              </w:rPr>
              <w:t>**</w:t>
            </w:r>
            <w:r>
              <w:rPr>
                <w:rFonts w:asciiTheme="minorHAnsi" w:hAnsiTheme="minorHAnsi"/>
                <w:color w:val="333333"/>
                <w:sz w:val="20"/>
                <w:szCs w:val="22"/>
                <w:shd w:val="clear" w:color="auto" w:fill="FFFFFF"/>
              </w:rPr>
              <w:t xml:space="preserve"> </w:t>
            </w:r>
            <w:r w:rsidRPr="001B124C">
              <w:rPr>
                <w:rFonts w:asciiTheme="minorHAnsi" w:hAnsiTheme="minorHAnsi"/>
                <w:color w:val="333333"/>
                <w:sz w:val="20"/>
                <w:szCs w:val="22"/>
                <w:shd w:val="clear" w:color="auto" w:fill="FFFFFF"/>
              </w:rPr>
              <w:t>The dollar value of this contribution/benefit will be included as taxable income to the employee.</w:t>
            </w:r>
          </w:p>
          <w:p w:rsidR="009931A8" w:rsidRDefault="009931A8" w:rsidP="00620145">
            <w:pPr>
              <w:pStyle w:val="NormalWeb"/>
              <w:ind w:left="360"/>
              <w:rPr>
                <w:rStyle w:val="apple-converted-space"/>
                <w:rFonts w:asciiTheme="minorHAnsi" w:hAnsiTheme="minorHAnsi"/>
                <w:color w:val="333333"/>
                <w:sz w:val="20"/>
                <w:szCs w:val="22"/>
                <w:shd w:val="clear" w:color="auto" w:fill="FFFFFF"/>
              </w:rPr>
            </w:pPr>
            <w:r>
              <w:rPr>
                <w:rFonts w:asciiTheme="minorHAnsi" w:hAnsiTheme="minorHAnsi"/>
                <w:color w:val="2E74B5" w:themeColor="accent1" w:themeShade="BF"/>
                <w:sz w:val="22"/>
                <w:szCs w:val="22"/>
              </w:rPr>
              <w:t>†</w:t>
            </w:r>
            <w:r w:rsidRPr="001B124C">
              <w:rPr>
                <w:rFonts w:asciiTheme="minorHAnsi" w:hAnsiTheme="minorHAnsi"/>
                <w:color w:val="333333"/>
                <w:sz w:val="20"/>
                <w:szCs w:val="22"/>
                <w:shd w:val="clear" w:color="auto" w:fill="FFFFFF"/>
              </w:rPr>
              <w:t xml:space="preserve"> Spouses and dependents of retirees are not eligible for the </w:t>
            </w:r>
            <w:r w:rsidR="00B57ACB">
              <w:rPr>
                <w:rFonts w:asciiTheme="minorHAnsi" w:hAnsiTheme="minorHAnsi"/>
                <w:color w:val="333333"/>
                <w:sz w:val="20"/>
                <w:szCs w:val="22"/>
                <w:shd w:val="clear" w:color="auto" w:fill="FFFFFF"/>
              </w:rPr>
              <w:t>subsidy.</w:t>
            </w:r>
          </w:p>
          <w:p w:rsidR="009931A8" w:rsidRPr="0062431B" w:rsidRDefault="009931A8" w:rsidP="00620145">
            <w:pPr>
              <w:rPr>
                <w:color w:val="808080" w:themeColor="background1" w:themeShade="80"/>
              </w:rPr>
            </w:pPr>
          </w:p>
          <w:p w:rsidR="009931A8" w:rsidRPr="0062431B" w:rsidRDefault="009931A8" w:rsidP="00620145">
            <w:pPr>
              <w:pStyle w:val="NormalWeb"/>
              <w:spacing w:line="240" w:lineRule="auto"/>
              <w:ind w:left="360"/>
              <w:rPr>
                <w:rFonts w:ascii="Calibri" w:hAnsi="Calibri"/>
                <w:color w:val="808080" w:themeColor="background1" w:themeShade="80"/>
                <w:sz w:val="16"/>
                <w:szCs w:val="16"/>
                <w:shd w:val="clear" w:color="auto" w:fill="FFFFFF"/>
              </w:rPr>
            </w:pPr>
            <w:r w:rsidRPr="0062431B">
              <w:rPr>
                <w:rFonts w:ascii="Calibri" w:hAnsi="Calibri"/>
                <w:color w:val="808080" w:themeColor="background1" w:themeShade="80"/>
                <w:sz w:val="16"/>
                <w:szCs w:val="16"/>
                <w:shd w:val="clear" w:color="auto" w:fill="FFFFFF"/>
              </w:rPr>
              <w:t xml:space="preserve">*** Magazine Subscription: Joining member must purchase an At Work Meeting Series, Meetings + </w:t>
            </w:r>
            <w:proofErr w:type="spellStart"/>
            <w:r w:rsidRPr="0062431B">
              <w:rPr>
                <w:rFonts w:ascii="Calibri" w:hAnsi="Calibri"/>
                <w:color w:val="808080" w:themeColor="background1" w:themeShade="80"/>
                <w:sz w:val="16"/>
                <w:szCs w:val="16"/>
                <w:shd w:val="clear" w:color="auto" w:fill="FFFFFF"/>
              </w:rPr>
              <w:t>OnlinePlus</w:t>
            </w:r>
            <w:proofErr w:type="spellEnd"/>
            <w:r w:rsidRPr="0062431B">
              <w:rPr>
                <w:rFonts w:ascii="Calibri" w:hAnsi="Calibri"/>
                <w:color w:val="808080" w:themeColor="background1" w:themeShade="80"/>
                <w:sz w:val="16"/>
                <w:szCs w:val="16"/>
                <w:shd w:val="clear" w:color="auto" w:fill="FFFFFF"/>
              </w:rPr>
              <w:t xml:space="preserve"> or </w:t>
            </w:r>
            <w:proofErr w:type="spellStart"/>
            <w:r w:rsidRPr="0062431B">
              <w:rPr>
                <w:rFonts w:ascii="Calibri" w:hAnsi="Calibri"/>
                <w:color w:val="808080" w:themeColor="background1" w:themeShade="80"/>
                <w:sz w:val="16"/>
                <w:szCs w:val="16"/>
                <w:shd w:val="clear" w:color="auto" w:fill="FFFFFF"/>
              </w:rPr>
              <w:t>OnlinePlus</w:t>
            </w:r>
            <w:proofErr w:type="spellEnd"/>
            <w:r w:rsidRPr="0062431B">
              <w:rPr>
                <w:rFonts w:ascii="Calibri" w:hAnsi="Calibri"/>
                <w:color w:val="808080" w:themeColor="background1" w:themeShade="80"/>
                <w:sz w:val="16"/>
                <w:szCs w:val="16"/>
                <w:shd w:val="clear" w:color="auto" w:fill="FFFFFF"/>
              </w:rPr>
              <w:t xml:space="preserve"> subscription through current and joining members’ employer or health plan in participating areas only by 12/31/18 and continue the Weight Watchers membership for at least 2 weeks. Referring member must have a current At Work Meeting Series, Meetings + </w:t>
            </w:r>
            <w:proofErr w:type="spellStart"/>
            <w:r w:rsidRPr="0062431B">
              <w:rPr>
                <w:rFonts w:ascii="Calibri" w:hAnsi="Calibri"/>
                <w:color w:val="808080" w:themeColor="background1" w:themeShade="80"/>
                <w:sz w:val="16"/>
                <w:szCs w:val="16"/>
                <w:shd w:val="clear" w:color="auto" w:fill="FFFFFF"/>
              </w:rPr>
              <w:t>OnlinePlus</w:t>
            </w:r>
            <w:proofErr w:type="spellEnd"/>
            <w:r w:rsidRPr="0062431B">
              <w:rPr>
                <w:rFonts w:ascii="Calibri" w:hAnsi="Calibri"/>
                <w:color w:val="808080" w:themeColor="background1" w:themeShade="80"/>
                <w:sz w:val="16"/>
                <w:szCs w:val="16"/>
                <w:shd w:val="clear" w:color="auto" w:fill="FFFFFF"/>
              </w:rPr>
              <w:t xml:space="preserve"> or </w:t>
            </w:r>
            <w:proofErr w:type="spellStart"/>
            <w:r w:rsidRPr="0062431B">
              <w:rPr>
                <w:rFonts w:ascii="Calibri" w:hAnsi="Calibri"/>
                <w:color w:val="808080" w:themeColor="background1" w:themeShade="80"/>
                <w:sz w:val="16"/>
                <w:szCs w:val="16"/>
                <w:shd w:val="clear" w:color="auto" w:fill="FFFFFF"/>
              </w:rPr>
              <w:t>OnlinePlus</w:t>
            </w:r>
            <w:proofErr w:type="spellEnd"/>
            <w:r w:rsidRPr="0062431B">
              <w:rPr>
                <w:rFonts w:ascii="Calibri" w:hAnsi="Calibri"/>
                <w:color w:val="808080" w:themeColor="background1" w:themeShade="80"/>
                <w:sz w:val="16"/>
                <w:szCs w:val="16"/>
                <w:shd w:val="clear" w:color="auto" w:fill="FFFFFF"/>
              </w:rPr>
              <w:t xml:space="preserve"> subscription enrolled through their employer or health plan that has been active for a minimum of 2 weeks. Joining member must not have had an active Weight Watchers At Work Meeting Series or Weight Watchers subscription for at least 1 month. Offer good for U.S. addresses only. First issue will arrive within 4-6 weeks after joining and current members receive emails confirming eligibility. </w:t>
            </w:r>
          </w:p>
          <w:p w:rsidR="009931A8" w:rsidRPr="0062431B" w:rsidRDefault="009931A8" w:rsidP="00620145">
            <w:pPr>
              <w:pStyle w:val="NormalWeb"/>
              <w:spacing w:line="240" w:lineRule="auto"/>
              <w:ind w:left="360"/>
              <w:rPr>
                <w:rFonts w:ascii="Calibri" w:hAnsi="Calibri"/>
                <w:color w:val="808080" w:themeColor="background1" w:themeShade="80"/>
                <w:sz w:val="16"/>
                <w:szCs w:val="16"/>
                <w:shd w:val="clear" w:color="auto" w:fill="FFFFFF"/>
              </w:rPr>
            </w:pPr>
          </w:p>
          <w:p w:rsidR="009931A8" w:rsidRPr="0062431B" w:rsidRDefault="009931A8" w:rsidP="00620145">
            <w:pPr>
              <w:pStyle w:val="NormalWeb"/>
              <w:spacing w:line="240" w:lineRule="auto"/>
              <w:ind w:left="360"/>
              <w:rPr>
                <w:rFonts w:asciiTheme="minorHAnsi" w:hAnsiTheme="minorHAnsi"/>
                <w:color w:val="808080" w:themeColor="background1" w:themeShade="80"/>
                <w:sz w:val="16"/>
                <w:szCs w:val="16"/>
                <w:shd w:val="clear" w:color="auto" w:fill="FFFFFF"/>
              </w:rPr>
            </w:pPr>
            <w:r w:rsidRPr="0062431B">
              <w:rPr>
                <w:rFonts w:asciiTheme="minorHAnsi" w:hAnsiTheme="minorHAnsi"/>
                <w:color w:val="808080" w:themeColor="background1" w:themeShade="80"/>
                <w:sz w:val="16"/>
                <w:szCs w:val="16"/>
              </w:rPr>
              <w:t xml:space="preserve">‡ </w:t>
            </w:r>
            <w:r w:rsidRPr="0062431B">
              <w:rPr>
                <w:rFonts w:asciiTheme="minorHAnsi" w:hAnsiTheme="minorHAnsi" w:cs="Segoe UI"/>
                <w:color w:val="808080" w:themeColor="background1" w:themeShade="80"/>
                <w:sz w:val="16"/>
                <w:szCs w:val="16"/>
              </w:rPr>
              <w:t>WorkWell NYC, The Mayor's Office of Labor Relations or The City of New York are not responsible for material posted to this social media site and do not guarantee the content, accuracy, or use of the content in this site. WorkWell NYC, The Mayor's Office of Labor Relations or The City of New York do not in any way endorse or recommend individuals, products or services that may be discussed on this site.  WorkWell NYC, The Mayor's Office of Labor Relations and The City of New York specifically disclaims all liability for claims or damages that may result from any posting on this site.   WorkWell NYC, The Mayor's Office of Labor Relations and The City of New York accepts no responsibility for the opinions and information posted on this forum, and such opinions do not reflect the policies of WorkWell NYC, The Mayor's Office of Labor Relations or The City of New York.  In no event shall WorkWell NYC, The Mayor's Office of Labor Relations or The City of New York be liable to you or anyone else for any decision made or action taken by you in reliance on information on this site</w:t>
            </w:r>
          </w:p>
          <w:p w:rsidR="009931A8" w:rsidRPr="0062431B" w:rsidRDefault="009931A8" w:rsidP="00620145">
            <w:pPr>
              <w:pStyle w:val="NormalWeb"/>
              <w:rPr>
                <w:rStyle w:val="apple-converted-space"/>
                <w:rFonts w:asciiTheme="minorHAnsi" w:hAnsiTheme="minorHAnsi"/>
                <w:color w:val="808080" w:themeColor="background1" w:themeShade="80"/>
                <w:sz w:val="16"/>
                <w:szCs w:val="16"/>
                <w:shd w:val="clear" w:color="auto" w:fill="FFFFFF"/>
              </w:rPr>
            </w:pPr>
          </w:p>
          <w:p w:rsidR="009931A8" w:rsidRPr="0062431B" w:rsidRDefault="009931A8" w:rsidP="00620145">
            <w:pPr>
              <w:rPr>
                <w:color w:val="808080" w:themeColor="background1" w:themeShade="80"/>
                <w:sz w:val="16"/>
                <w:szCs w:val="16"/>
              </w:rPr>
            </w:pPr>
            <w:r w:rsidRPr="0062431B">
              <w:rPr>
                <w:rFonts w:cs="Segoe UI"/>
                <w:color w:val="808080" w:themeColor="background1" w:themeShade="80"/>
                <w:sz w:val="16"/>
                <w:szCs w:val="16"/>
              </w:rPr>
              <w:t>.</w:t>
            </w:r>
          </w:p>
          <w:p w:rsidR="009931A8" w:rsidRDefault="009931A8" w:rsidP="00620145">
            <w:pPr>
              <w:pStyle w:val="NormalWeb"/>
              <w:rPr>
                <w:rFonts w:asciiTheme="minorHAnsi" w:hAnsiTheme="minorHAnsi"/>
                <w:sz w:val="22"/>
                <w:szCs w:val="22"/>
              </w:rPr>
            </w:pPr>
          </w:p>
        </w:tc>
      </w:tr>
    </w:tbl>
    <w:p w:rsidR="007E1F73" w:rsidRDefault="00D079EC">
      <w:bookmarkStart w:id="0" w:name="_GoBack"/>
      <w:bookmarkEnd w:id="0"/>
    </w:p>
    <w:sectPr w:rsidR="007E1F73" w:rsidSect="009931A8">
      <w:headerReference w:type="default" r:id="rId1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EC" w:rsidRDefault="00D079EC" w:rsidP="00D079EC">
      <w:pPr>
        <w:spacing w:after="0" w:line="240" w:lineRule="auto"/>
      </w:pPr>
      <w:r>
        <w:separator/>
      </w:r>
    </w:p>
  </w:endnote>
  <w:endnote w:type="continuationSeparator" w:id="0">
    <w:p w:rsidR="00D079EC" w:rsidRDefault="00D079EC" w:rsidP="00D0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EC" w:rsidRDefault="00D079EC" w:rsidP="00D079EC">
      <w:pPr>
        <w:spacing w:after="0" w:line="240" w:lineRule="auto"/>
      </w:pPr>
      <w:r>
        <w:separator/>
      </w:r>
    </w:p>
  </w:footnote>
  <w:footnote w:type="continuationSeparator" w:id="0">
    <w:p w:rsidR="00D079EC" w:rsidRDefault="00D079EC" w:rsidP="00D07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EC" w:rsidRPr="00970C68" w:rsidRDefault="00D079EC" w:rsidP="00D079EC">
    <w:pPr>
      <w:pStyle w:val="Header"/>
    </w:pPr>
    <w:r>
      <w:tab/>
    </w:r>
    <w:r>
      <w:rPr>
        <w:b/>
      </w:rPr>
      <w:t xml:space="preserve">Weight Watchers: Leaders in Success                                                                                               </w:t>
    </w:r>
    <w:r>
      <w:t>June 1</w:t>
    </w:r>
    <w:r>
      <w:t>1, 2018</w:t>
    </w:r>
    <w:r>
      <w:rPr>
        <w:b/>
      </w:rPr>
      <w:tab/>
    </w:r>
  </w:p>
  <w:p w:rsidR="00D079EC" w:rsidRDefault="00D079EC" w:rsidP="00D079EC">
    <w:pPr>
      <w:pStyle w:val="Header"/>
      <w:tabs>
        <w:tab w:val="clear" w:pos="4680"/>
        <w:tab w:val="clear" w:pos="9360"/>
        <w:tab w:val="left" w:pos="14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3NzQwNTIyNrYwNDJR0lEKTi0uzszPAykwqQUAGoimoywAAAA="/>
  </w:docVars>
  <w:rsids>
    <w:rsidRoot w:val="009931A8"/>
    <w:rsid w:val="00032B20"/>
    <w:rsid w:val="0011216B"/>
    <w:rsid w:val="0015434A"/>
    <w:rsid w:val="00506A81"/>
    <w:rsid w:val="005B41A1"/>
    <w:rsid w:val="009655CB"/>
    <w:rsid w:val="009931A8"/>
    <w:rsid w:val="00B57ACB"/>
    <w:rsid w:val="00D079EC"/>
    <w:rsid w:val="00D541C4"/>
    <w:rsid w:val="00E519CD"/>
    <w:rsid w:val="00E53322"/>
    <w:rsid w:val="00EC2ACC"/>
    <w:rsid w:val="00F15D25"/>
    <w:rsid w:val="00FD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8F01A-9DF0-4C4D-9654-CFE1D02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31A8"/>
    <w:pPr>
      <w:spacing w:after="0" w:line="375" w:lineRule="atLeast"/>
    </w:pPr>
    <w:rPr>
      <w:rFonts w:ascii="Helvetica" w:hAnsi="Helvetica" w:cs="Times New Roman"/>
      <w:color w:val="000000"/>
      <w:sz w:val="24"/>
      <w:szCs w:val="24"/>
    </w:rPr>
  </w:style>
  <w:style w:type="character" w:styleId="Strong">
    <w:name w:val="Strong"/>
    <w:basedOn w:val="DefaultParagraphFont"/>
    <w:uiPriority w:val="22"/>
    <w:qFormat/>
    <w:rsid w:val="009931A8"/>
    <w:rPr>
      <w:b/>
      <w:bCs/>
    </w:rPr>
  </w:style>
  <w:style w:type="character" w:styleId="Emphasis">
    <w:name w:val="Emphasis"/>
    <w:basedOn w:val="DefaultParagraphFont"/>
    <w:uiPriority w:val="20"/>
    <w:qFormat/>
    <w:rsid w:val="009931A8"/>
    <w:rPr>
      <w:i/>
      <w:iCs/>
    </w:rPr>
  </w:style>
  <w:style w:type="character" w:styleId="Hyperlink">
    <w:name w:val="Hyperlink"/>
    <w:basedOn w:val="DefaultParagraphFont"/>
    <w:uiPriority w:val="99"/>
    <w:unhideWhenUsed/>
    <w:rsid w:val="009931A8"/>
    <w:rPr>
      <w:color w:val="0563C1" w:themeColor="hyperlink"/>
      <w:u w:val="single"/>
    </w:rPr>
  </w:style>
  <w:style w:type="character" w:customStyle="1" w:styleId="apple-converted-space">
    <w:name w:val="apple-converted-space"/>
    <w:basedOn w:val="DefaultParagraphFont"/>
    <w:rsid w:val="009931A8"/>
  </w:style>
  <w:style w:type="table" w:customStyle="1" w:styleId="GridTable4-Accent61">
    <w:name w:val="Grid Table 4 - Accent 61"/>
    <w:basedOn w:val="TableNormal"/>
    <w:uiPriority w:val="49"/>
    <w:rsid w:val="009931A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506A81"/>
    <w:rPr>
      <w:sz w:val="16"/>
      <w:szCs w:val="16"/>
    </w:rPr>
  </w:style>
  <w:style w:type="paragraph" w:styleId="CommentText">
    <w:name w:val="annotation text"/>
    <w:basedOn w:val="Normal"/>
    <w:link w:val="CommentTextChar"/>
    <w:uiPriority w:val="99"/>
    <w:semiHidden/>
    <w:unhideWhenUsed/>
    <w:rsid w:val="00506A81"/>
    <w:pPr>
      <w:spacing w:line="240" w:lineRule="auto"/>
    </w:pPr>
    <w:rPr>
      <w:sz w:val="20"/>
      <w:szCs w:val="20"/>
    </w:rPr>
  </w:style>
  <w:style w:type="character" w:customStyle="1" w:styleId="CommentTextChar">
    <w:name w:val="Comment Text Char"/>
    <w:basedOn w:val="DefaultParagraphFont"/>
    <w:link w:val="CommentText"/>
    <w:uiPriority w:val="99"/>
    <w:semiHidden/>
    <w:rsid w:val="00506A81"/>
    <w:rPr>
      <w:sz w:val="20"/>
      <w:szCs w:val="20"/>
    </w:rPr>
  </w:style>
  <w:style w:type="paragraph" w:styleId="CommentSubject">
    <w:name w:val="annotation subject"/>
    <w:basedOn w:val="CommentText"/>
    <w:next w:val="CommentText"/>
    <w:link w:val="CommentSubjectChar"/>
    <w:uiPriority w:val="99"/>
    <w:semiHidden/>
    <w:unhideWhenUsed/>
    <w:rsid w:val="00506A81"/>
    <w:rPr>
      <w:b/>
      <w:bCs/>
    </w:rPr>
  </w:style>
  <w:style w:type="character" w:customStyle="1" w:styleId="CommentSubjectChar">
    <w:name w:val="Comment Subject Char"/>
    <w:basedOn w:val="CommentTextChar"/>
    <w:link w:val="CommentSubject"/>
    <w:uiPriority w:val="99"/>
    <w:semiHidden/>
    <w:rsid w:val="00506A81"/>
    <w:rPr>
      <w:b/>
      <w:bCs/>
      <w:sz w:val="20"/>
      <w:szCs w:val="20"/>
    </w:rPr>
  </w:style>
  <w:style w:type="paragraph" w:styleId="BalloonText">
    <w:name w:val="Balloon Text"/>
    <w:basedOn w:val="Normal"/>
    <w:link w:val="BalloonTextChar"/>
    <w:uiPriority w:val="99"/>
    <w:semiHidden/>
    <w:unhideWhenUsed/>
    <w:rsid w:val="00506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A81"/>
    <w:rPr>
      <w:rFonts w:ascii="Segoe UI" w:hAnsi="Segoe UI" w:cs="Segoe UI"/>
      <w:sz w:val="18"/>
      <w:szCs w:val="18"/>
    </w:rPr>
  </w:style>
  <w:style w:type="paragraph" w:styleId="Header">
    <w:name w:val="header"/>
    <w:basedOn w:val="Normal"/>
    <w:link w:val="HeaderChar"/>
    <w:uiPriority w:val="99"/>
    <w:unhideWhenUsed/>
    <w:rsid w:val="00D0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9EC"/>
  </w:style>
  <w:style w:type="paragraph" w:styleId="Footer">
    <w:name w:val="footer"/>
    <w:basedOn w:val="Normal"/>
    <w:link w:val="FooterChar"/>
    <w:uiPriority w:val="99"/>
    <w:unhideWhenUsed/>
    <w:rsid w:val="00D0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bit.ly/2sM0oG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t.ly/atworkmeetings" TargetMode="External"/><Relationship Id="rId5" Type="http://schemas.openxmlformats.org/officeDocument/2006/relationships/endnotes" Target="endnotes.xml"/><Relationship Id="rId15" Type="http://schemas.openxmlformats.org/officeDocument/2006/relationships/hyperlink" Target="mailto:workwell@olr.nyc.gov" TargetMode="External"/><Relationship Id="rId10" Type="http://schemas.openxmlformats.org/officeDocument/2006/relationships/hyperlink" Target="http://on.nyc.gov/2Du7x2o"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on.nyc.gov/2AFumj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Imo-Jah DeSourza</dc:creator>
  <cp:keywords/>
  <dc:description/>
  <cp:lastModifiedBy>Marissa Frieder</cp:lastModifiedBy>
  <cp:revision>2</cp:revision>
  <dcterms:created xsi:type="dcterms:W3CDTF">2018-08-22T18:35:00Z</dcterms:created>
  <dcterms:modified xsi:type="dcterms:W3CDTF">2018-08-22T18:35:00Z</dcterms:modified>
</cp:coreProperties>
</file>